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1BC" w:rsidRDefault="005841BC"/>
    <w:p w:rsidR="005841BC" w:rsidRPr="005841BC" w:rsidRDefault="005841BC" w:rsidP="005841BC"/>
    <w:p w:rsidR="005841BC" w:rsidRPr="005841BC" w:rsidRDefault="005841BC" w:rsidP="005841BC"/>
    <w:p w:rsidR="007930F0" w:rsidRPr="007930F0" w:rsidRDefault="00FD4DBC" w:rsidP="007930F0">
      <w:pPr>
        <w:jc w:val="center"/>
        <w:rPr>
          <w:rFonts w:ascii="Times New Roman" w:hAnsi="Times New Roman" w:cs="Times New Roman"/>
          <w:sz w:val="24"/>
        </w:rPr>
      </w:pPr>
      <w:r w:rsidRPr="007930F0">
        <w:rPr>
          <w:rFonts w:ascii="Times New Roman" w:hAnsi="Times New Roman" w:cs="Times New Roman"/>
          <w:sz w:val="24"/>
        </w:rPr>
        <w:t>Name</w:t>
      </w:r>
    </w:p>
    <w:p w:rsidR="007930F0" w:rsidRPr="007930F0" w:rsidRDefault="007930F0" w:rsidP="007930F0">
      <w:pPr>
        <w:jc w:val="center"/>
        <w:rPr>
          <w:rFonts w:ascii="Times New Roman" w:hAnsi="Times New Roman" w:cs="Times New Roman"/>
          <w:sz w:val="24"/>
        </w:rPr>
      </w:pPr>
    </w:p>
    <w:p w:rsidR="007930F0" w:rsidRPr="007930F0" w:rsidRDefault="00FD4DBC" w:rsidP="007930F0">
      <w:pPr>
        <w:jc w:val="center"/>
        <w:rPr>
          <w:rFonts w:ascii="Times New Roman" w:hAnsi="Times New Roman" w:cs="Times New Roman"/>
          <w:sz w:val="24"/>
        </w:rPr>
      </w:pPr>
      <w:r w:rsidRPr="006948B8">
        <w:rPr>
          <w:rFonts w:ascii="Times New Roman" w:hAnsi="Times New Roman" w:cs="Times New Roman"/>
          <w:sz w:val="24"/>
        </w:rPr>
        <w:t>Mph Capstone Project</w:t>
      </w:r>
      <w:r w:rsidRPr="007930F0">
        <w:rPr>
          <w:rFonts w:ascii="Times New Roman" w:hAnsi="Times New Roman" w:cs="Times New Roman"/>
          <w:sz w:val="24"/>
        </w:rPr>
        <w:t>.</w:t>
      </w:r>
    </w:p>
    <w:p w:rsidR="007930F0" w:rsidRPr="007930F0" w:rsidRDefault="007930F0" w:rsidP="007930F0">
      <w:pPr>
        <w:jc w:val="center"/>
        <w:rPr>
          <w:rFonts w:ascii="Times New Roman" w:hAnsi="Times New Roman" w:cs="Times New Roman"/>
          <w:sz w:val="24"/>
        </w:rPr>
      </w:pPr>
    </w:p>
    <w:p w:rsidR="007930F0" w:rsidRPr="007930F0" w:rsidRDefault="00FD4DBC" w:rsidP="007930F0">
      <w:pPr>
        <w:jc w:val="center"/>
        <w:rPr>
          <w:rFonts w:ascii="Times New Roman" w:hAnsi="Times New Roman" w:cs="Times New Roman"/>
          <w:sz w:val="24"/>
        </w:rPr>
      </w:pPr>
      <w:r w:rsidRPr="007930F0">
        <w:rPr>
          <w:rFonts w:ascii="Times New Roman" w:hAnsi="Times New Roman" w:cs="Times New Roman"/>
          <w:sz w:val="24"/>
        </w:rPr>
        <w:t>Lecturer Name</w:t>
      </w:r>
    </w:p>
    <w:p w:rsidR="007930F0" w:rsidRPr="007930F0" w:rsidRDefault="00FD4DBC" w:rsidP="007930F0">
      <w:pPr>
        <w:jc w:val="center"/>
        <w:rPr>
          <w:rFonts w:ascii="Times New Roman" w:hAnsi="Times New Roman" w:cs="Times New Roman"/>
          <w:sz w:val="24"/>
        </w:rPr>
      </w:pPr>
      <w:r w:rsidRPr="007930F0">
        <w:rPr>
          <w:rFonts w:ascii="Times New Roman" w:hAnsi="Times New Roman" w:cs="Times New Roman"/>
          <w:sz w:val="24"/>
        </w:rPr>
        <w:t>Section number</w:t>
      </w:r>
    </w:p>
    <w:p w:rsidR="005841BC" w:rsidRPr="007930F0" w:rsidRDefault="00FD4DBC" w:rsidP="007930F0">
      <w:pPr>
        <w:jc w:val="center"/>
        <w:rPr>
          <w:rFonts w:ascii="Times New Roman" w:hAnsi="Times New Roman" w:cs="Times New Roman"/>
          <w:sz w:val="24"/>
        </w:rPr>
      </w:pPr>
      <w:r w:rsidRPr="007930F0">
        <w:rPr>
          <w:rFonts w:ascii="Times New Roman" w:hAnsi="Times New Roman" w:cs="Times New Roman"/>
          <w:sz w:val="24"/>
        </w:rPr>
        <w:t>Date</w:t>
      </w:r>
    </w:p>
    <w:p w:rsidR="005841BC" w:rsidRPr="007930F0" w:rsidRDefault="005841BC" w:rsidP="007930F0">
      <w:pPr>
        <w:jc w:val="center"/>
        <w:rPr>
          <w:rFonts w:ascii="Times New Roman" w:hAnsi="Times New Roman" w:cs="Times New Roman"/>
          <w:sz w:val="24"/>
        </w:rPr>
      </w:pPr>
    </w:p>
    <w:p w:rsidR="005841BC" w:rsidRPr="005841BC" w:rsidRDefault="005841BC" w:rsidP="005841BC"/>
    <w:p w:rsidR="005841BC" w:rsidRDefault="005841BC" w:rsidP="005841BC"/>
    <w:p w:rsidR="00D22ABD" w:rsidRDefault="00FD4DBC" w:rsidP="005841BC">
      <w:pPr>
        <w:tabs>
          <w:tab w:val="left" w:pos="2445"/>
        </w:tabs>
      </w:pPr>
      <w:r>
        <w:tab/>
      </w: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E8208B" w:rsidRDefault="00E8208B" w:rsidP="00E8208B">
      <w:pPr>
        <w:rPr>
          <w:rFonts w:ascii="Times New Roman" w:hAnsi="Times New Roman" w:cs="Times New Roman"/>
          <w:b/>
          <w:sz w:val="24"/>
        </w:rPr>
      </w:pPr>
    </w:p>
    <w:p w:rsidR="00E8208B" w:rsidRPr="002A11A9" w:rsidRDefault="00FD4DBC" w:rsidP="00133C44">
      <w:pPr>
        <w:jc w:val="center"/>
        <w:rPr>
          <w:rFonts w:ascii="Times New Roman" w:hAnsi="Times New Roman" w:cs="Times New Roman"/>
          <w:b/>
          <w:sz w:val="24"/>
          <w:szCs w:val="24"/>
        </w:rPr>
      </w:pPr>
      <w:r w:rsidRPr="002A11A9">
        <w:rPr>
          <w:rFonts w:ascii="Times New Roman" w:hAnsi="Times New Roman" w:cs="Times New Roman"/>
          <w:b/>
          <w:sz w:val="24"/>
          <w:szCs w:val="24"/>
        </w:rPr>
        <w:lastRenderedPageBreak/>
        <w:t xml:space="preserve">Abstract </w:t>
      </w:r>
    </w:p>
    <w:p w:rsidR="00D344BD" w:rsidRPr="002A11A9" w:rsidRDefault="00FD4DBC" w:rsidP="00133C44">
      <w:pPr>
        <w:rPr>
          <w:rFonts w:ascii="Times New Roman" w:hAnsi="Times New Roman" w:cs="Times New Roman"/>
          <w:sz w:val="24"/>
          <w:szCs w:val="24"/>
        </w:rPr>
      </w:pPr>
      <w:r w:rsidRPr="002A11A9">
        <w:rPr>
          <w:rFonts w:ascii="Times New Roman" w:hAnsi="Times New Roman" w:cs="Times New Roman"/>
          <w:sz w:val="24"/>
          <w:szCs w:val="24"/>
        </w:rPr>
        <w:t xml:space="preserve">In those exploration papers, I will focus on addressing good nutrition, health, and wellness to prevent chronic conditions in children and adults in underserved </w:t>
      </w:r>
      <w:r w:rsidRPr="002A11A9">
        <w:rPr>
          <w:rFonts w:ascii="Times New Roman" w:hAnsi="Times New Roman" w:cs="Times New Roman"/>
          <w:sz w:val="24"/>
          <w:szCs w:val="24"/>
        </w:rPr>
        <w:t>populations. Utilizing the Capstone group, I will adjust Photovoice advisers to address the Project's issues, executed the principal accomplice of Photovoice, and led a starter subjective investigation of the interpreted meetings. The Photovoice stage clos</w:t>
      </w:r>
      <w:r w:rsidRPr="002A11A9">
        <w:rPr>
          <w:rFonts w:ascii="Times New Roman" w:hAnsi="Times New Roman" w:cs="Times New Roman"/>
          <w:sz w:val="24"/>
          <w:szCs w:val="24"/>
        </w:rPr>
        <w:t>es with a local area drove gathering with neighborhood key partners to advocate for change inside the local area. The preliminary test was because of time imperatives and requests. This test, nonetheless, was extraordinarily dwarfed by the advantages to th</w:t>
      </w:r>
      <w:r w:rsidRPr="002A11A9">
        <w:rPr>
          <w:rFonts w:ascii="Times New Roman" w:hAnsi="Times New Roman" w:cs="Times New Roman"/>
          <w:sz w:val="24"/>
          <w:szCs w:val="24"/>
        </w:rPr>
        <w:t>e Capstone group, for example, important field insight, directing cycle assessments, freedoms to follow and break down factual information, experience composing educational programs, and the chance to partake in a task.</w:t>
      </w:r>
    </w:p>
    <w:p w:rsidR="00E8208B" w:rsidRPr="002A11A9" w:rsidRDefault="00FD4DBC" w:rsidP="00133C44">
      <w:pPr>
        <w:jc w:val="center"/>
        <w:rPr>
          <w:rFonts w:ascii="Times New Roman" w:hAnsi="Times New Roman" w:cs="Times New Roman"/>
          <w:b/>
          <w:sz w:val="24"/>
          <w:szCs w:val="24"/>
        </w:rPr>
      </w:pPr>
      <w:r w:rsidRPr="002A11A9">
        <w:rPr>
          <w:rFonts w:ascii="Times New Roman" w:hAnsi="Times New Roman" w:cs="Times New Roman"/>
          <w:b/>
          <w:sz w:val="24"/>
          <w:szCs w:val="24"/>
        </w:rPr>
        <w:t xml:space="preserve">Introduction </w:t>
      </w:r>
    </w:p>
    <w:p w:rsidR="00B930D0" w:rsidRPr="002A11A9" w:rsidRDefault="00FD4DBC" w:rsidP="00133C44">
      <w:pPr>
        <w:rPr>
          <w:rFonts w:ascii="Times New Roman" w:hAnsi="Times New Roman" w:cs="Times New Roman"/>
          <w:sz w:val="24"/>
          <w:szCs w:val="24"/>
        </w:rPr>
      </w:pPr>
      <w:r w:rsidRPr="002A11A9">
        <w:rPr>
          <w:rFonts w:ascii="Times New Roman" w:hAnsi="Times New Roman" w:cs="Times New Roman"/>
          <w:sz w:val="24"/>
          <w:szCs w:val="24"/>
        </w:rPr>
        <w:t>All children and adult</w:t>
      </w:r>
      <w:r w:rsidRPr="002A11A9">
        <w:rPr>
          <w:rFonts w:ascii="Times New Roman" w:hAnsi="Times New Roman" w:cs="Times New Roman"/>
          <w:sz w:val="24"/>
          <w:szCs w:val="24"/>
        </w:rPr>
        <w:t>s require excellent medical care and are seriously fundamental for sure—kids' medical services capacities as grown-ups from numerous perspectives. For example, kids' chronic ailment occurrence is rising, prompting significant disease trouble with a conside</w:t>
      </w:r>
      <w:r w:rsidRPr="002A11A9">
        <w:rPr>
          <w:rFonts w:ascii="Times New Roman" w:hAnsi="Times New Roman" w:cs="Times New Roman"/>
          <w:sz w:val="24"/>
          <w:szCs w:val="24"/>
        </w:rPr>
        <w:t xml:space="preserve">rable expense. The present moment and long haul impacts are enormously affected by how chronic conditions are managed not just for the common diseases, for instance, asthma, yet additionally more extraordinary conditions like cystic fibrosis, sickle cell, </w:t>
      </w:r>
      <w:r w:rsidRPr="002A11A9">
        <w:rPr>
          <w:rFonts w:ascii="Times New Roman" w:hAnsi="Times New Roman" w:cs="Times New Roman"/>
          <w:sz w:val="24"/>
          <w:szCs w:val="24"/>
        </w:rPr>
        <w:t>and malignant growth infection (</w:t>
      </w:r>
      <w:r w:rsidR="000036FA" w:rsidRPr="002A11A9">
        <w:rPr>
          <w:rFonts w:ascii="Times New Roman" w:hAnsi="Times New Roman" w:cs="Times New Roman"/>
          <w:color w:val="222222"/>
          <w:sz w:val="24"/>
          <w:szCs w:val="24"/>
          <w:shd w:val="clear" w:color="auto" w:fill="FFFFFF"/>
        </w:rPr>
        <w:t>Perrin, 2012).</w:t>
      </w:r>
    </w:p>
    <w:p w:rsidR="00B930D0" w:rsidRPr="002A11A9" w:rsidRDefault="00FD4DBC" w:rsidP="00133C44">
      <w:pPr>
        <w:jc w:val="center"/>
        <w:rPr>
          <w:rFonts w:ascii="Times New Roman" w:hAnsi="Times New Roman" w:cs="Times New Roman"/>
          <w:b/>
          <w:sz w:val="24"/>
          <w:szCs w:val="24"/>
        </w:rPr>
      </w:pPr>
      <w:r w:rsidRPr="002A11A9">
        <w:rPr>
          <w:rFonts w:ascii="Times New Roman" w:hAnsi="Times New Roman" w:cs="Times New Roman"/>
          <w:b/>
          <w:sz w:val="24"/>
          <w:szCs w:val="24"/>
        </w:rPr>
        <w:t>Literature review</w:t>
      </w:r>
    </w:p>
    <w:p w:rsidR="00A94EFA" w:rsidRPr="002A11A9" w:rsidRDefault="00FD4DBC" w:rsidP="00133C44">
      <w:pPr>
        <w:tabs>
          <w:tab w:val="left" w:pos="2445"/>
        </w:tabs>
        <w:rPr>
          <w:rFonts w:ascii="Times New Roman" w:hAnsi="Times New Roman" w:cs="Times New Roman"/>
          <w:sz w:val="24"/>
          <w:szCs w:val="24"/>
        </w:rPr>
      </w:pPr>
      <w:r w:rsidRPr="002A11A9">
        <w:rPr>
          <w:rFonts w:ascii="Times New Roman" w:hAnsi="Times New Roman" w:cs="Times New Roman"/>
          <w:sz w:val="24"/>
          <w:szCs w:val="24"/>
        </w:rPr>
        <w:t xml:space="preserve">Chronic diseases include coronary illness, stroke, malignancy, diabetes, respiratory conditions, and joint inflammation. In big league salary nations, chronic diseases have been the primary </w:t>
      </w:r>
      <w:r w:rsidRPr="002A11A9">
        <w:rPr>
          <w:rFonts w:ascii="Times New Roman" w:hAnsi="Times New Roman" w:cs="Times New Roman"/>
          <w:sz w:val="24"/>
          <w:szCs w:val="24"/>
        </w:rPr>
        <w:lastRenderedPageBreak/>
        <w:t>sources of death and handicap for quite some time. A</w:t>
      </w:r>
      <w:r w:rsidR="00B930D0" w:rsidRPr="002A11A9">
        <w:rPr>
          <w:rFonts w:ascii="Times New Roman" w:hAnsi="Times New Roman" w:cs="Times New Roman"/>
          <w:sz w:val="24"/>
          <w:szCs w:val="24"/>
        </w:rPr>
        <w:t>ll around the world, more than 6</w:t>
      </w:r>
      <w:r w:rsidRPr="002A11A9">
        <w:rPr>
          <w:rFonts w:ascii="Times New Roman" w:hAnsi="Times New Roman" w:cs="Times New Roman"/>
          <w:sz w:val="24"/>
          <w:szCs w:val="24"/>
        </w:rPr>
        <w:t>0 % of passings are because of chronic diseases. In the S</w:t>
      </w:r>
      <w:r w:rsidR="00B930D0" w:rsidRPr="002A11A9">
        <w:rPr>
          <w:rFonts w:ascii="Times New Roman" w:hAnsi="Times New Roman" w:cs="Times New Roman"/>
          <w:sz w:val="24"/>
          <w:szCs w:val="24"/>
        </w:rPr>
        <w:t>tates, more than 86</w:t>
      </w:r>
      <w:r w:rsidRPr="002A11A9">
        <w:rPr>
          <w:rFonts w:ascii="Times New Roman" w:hAnsi="Times New Roman" w:cs="Times New Roman"/>
          <w:sz w:val="24"/>
          <w:szCs w:val="24"/>
        </w:rPr>
        <w:t xml:space="preserve"> % (</w:t>
      </w:r>
      <w:r w:rsidR="00B930D0" w:rsidRPr="002A11A9">
        <w:rPr>
          <w:rFonts w:ascii="Times New Roman" w:hAnsi="Times New Roman" w:cs="Times New Roman"/>
          <w:color w:val="222222"/>
          <w:sz w:val="24"/>
          <w:szCs w:val="24"/>
          <w:shd w:val="clear" w:color="auto" w:fill="FFFFFF"/>
        </w:rPr>
        <w:t>Anderson &amp; Durstine, 2019)</w:t>
      </w:r>
      <w:r w:rsidR="00D47690" w:rsidRPr="002A11A9">
        <w:rPr>
          <w:rFonts w:ascii="Times New Roman" w:hAnsi="Times New Roman" w:cs="Times New Roman"/>
          <w:color w:val="222222"/>
          <w:sz w:val="24"/>
          <w:szCs w:val="24"/>
          <w:shd w:val="clear" w:color="auto" w:fill="FFFFFF"/>
        </w:rPr>
        <w:t>.</w:t>
      </w:r>
      <w:r w:rsidRPr="002A11A9">
        <w:rPr>
          <w:rFonts w:ascii="Times New Roman" w:hAnsi="Times New Roman" w:cs="Times New Roman"/>
          <w:sz w:val="24"/>
          <w:szCs w:val="24"/>
        </w:rPr>
        <w:t xml:space="preserve"> Nearly one out of two Americans have one chronic condition at any rate (</w:t>
      </w:r>
      <w:r w:rsidR="00D47690" w:rsidRPr="002A11A9">
        <w:rPr>
          <w:rFonts w:ascii="Times New Roman" w:hAnsi="Times New Roman" w:cs="Times New Roman"/>
          <w:color w:val="222222"/>
          <w:sz w:val="24"/>
          <w:szCs w:val="24"/>
          <w:shd w:val="clear" w:color="auto" w:fill="FFFFFF"/>
        </w:rPr>
        <w:t>Cai &amp; Xu, 2020).</w:t>
      </w:r>
      <w:r w:rsidRPr="002A11A9">
        <w:rPr>
          <w:rFonts w:ascii="Times New Roman" w:hAnsi="Times New Roman" w:cs="Times New Roman"/>
          <w:sz w:val="24"/>
          <w:szCs w:val="24"/>
        </w:rPr>
        <w:t xml:space="preserve"> Besides the expense of human government a</w:t>
      </w:r>
      <w:r w:rsidRPr="002A11A9">
        <w:rPr>
          <w:rFonts w:ascii="Times New Roman" w:hAnsi="Times New Roman" w:cs="Times New Roman"/>
          <w:sz w:val="24"/>
          <w:szCs w:val="24"/>
        </w:rPr>
        <w:t>ssistance, therapy of chronic illness represents assessed 3/4 of U.S. medical care spending (</w:t>
      </w:r>
      <w:r w:rsidR="00B930D0" w:rsidRPr="002A11A9">
        <w:rPr>
          <w:rFonts w:ascii="Times New Roman" w:hAnsi="Times New Roman" w:cs="Times New Roman"/>
          <w:color w:val="222222"/>
          <w:sz w:val="24"/>
          <w:szCs w:val="24"/>
          <w:shd w:val="clear" w:color="auto" w:fill="FFFFFF"/>
        </w:rPr>
        <w:t>Abara &amp; Harris, 2017</w:t>
      </w:r>
      <w:r w:rsidRPr="002A11A9">
        <w:rPr>
          <w:rFonts w:ascii="Times New Roman" w:hAnsi="Times New Roman" w:cs="Times New Roman"/>
          <w:sz w:val="24"/>
          <w:szCs w:val="24"/>
        </w:rPr>
        <w:t>). Chronic diseases straightforwardly influence general medical care spending plans, worker efficiency, and economies. Universally, non-tr</w:t>
      </w:r>
      <w:r w:rsidR="00D47690" w:rsidRPr="002A11A9">
        <w:rPr>
          <w:rFonts w:ascii="Times New Roman" w:hAnsi="Times New Roman" w:cs="Times New Roman"/>
          <w:sz w:val="24"/>
          <w:szCs w:val="24"/>
        </w:rPr>
        <w:t>ansferable diseases represent 67</w:t>
      </w:r>
      <w:r w:rsidRPr="002A11A9">
        <w:rPr>
          <w:rFonts w:ascii="Times New Roman" w:hAnsi="Times New Roman" w:cs="Times New Roman"/>
          <w:sz w:val="24"/>
          <w:szCs w:val="24"/>
        </w:rPr>
        <w:t>% of the widespread infection trouble in center pay nations and are relied upon to ascend to 3/4 by 2030, regularly corresponding to events' monetary turn (</w:t>
      </w:r>
      <w:r w:rsidR="00D47690" w:rsidRPr="002A11A9">
        <w:rPr>
          <w:rFonts w:ascii="Times New Roman" w:hAnsi="Times New Roman" w:cs="Times New Roman"/>
          <w:color w:val="222222"/>
          <w:sz w:val="24"/>
          <w:szCs w:val="24"/>
          <w:shd w:val="clear" w:color="auto" w:fill="FFFFFF"/>
        </w:rPr>
        <w:t>Schroeder, 2020</w:t>
      </w:r>
      <w:r w:rsidRPr="002A11A9">
        <w:rPr>
          <w:rFonts w:ascii="Times New Roman" w:hAnsi="Times New Roman" w:cs="Times New Roman"/>
          <w:sz w:val="24"/>
          <w:szCs w:val="24"/>
        </w:rPr>
        <w:t>). Of specific worry to some low-and center pay nations is</w:t>
      </w:r>
      <w:r w:rsidRPr="002A11A9">
        <w:rPr>
          <w:rFonts w:ascii="Times New Roman" w:hAnsi="Times New Roman" w:cs="Times New Roman"/>
          <w:sz w:val="24"/>
          <w:szCs w:val="24"/>
        </w:rPr>
        <w:t xml:space="preserve"> that dangers to populace wellbeing happen on two fronts all the while: "In the ghettos of the present megacities, we see </w:t>
      </w:r>
      <w:r w:rsidR="00C75318" w:rsidRPr="002A11A9">
        <w:rPr>
          <w:rFonts w:ascii="Times New Roman" w:hAnsi="Times New Roman" w:cs="Times New Roman"/>
          <w:sz w:val="24"/>
          <w:szCs w:val="24"/>
        </w:rPr>
        <w:t>no communicable</w:t>
      </w:r>
      <w:r w:rsidRPr="002A11A9">
        <w:rPr>
          <w:rFonts w:ascii="Times New Roman" w:hAnsi="Times New Roman" w:cs="Times New Roman"/>
          <w:sz w:val="24"/>
          <w:szCs w:val="24"/>
        </w:rPr>
        <w:t xml:space="preserve"> diseases brought about by unfortunate weight control plans and propensities, one next to the other with undernutrition</w:t>
      </w:r>
      <w:r w:rsidRPr="002A11A9">
        <w:rPr>
          <w:rFonts w:ascii="Times New Roman" w:hAnsi="Times New Roman" w:cs="Times New Roman"/>
          <w:sz w:val="24"/>
          <w:szCs w:val="24"/>
        </w:rPr>
        <w:t>" (</w:t>
      </w:r>
      <w:r w:rsidR="00D47690" w:rsidRPr="002A11A9">
        <w:rPr>
          <w:rFonts w:ascii="Times New Roman" w:hAnsi="Times New Roman" w:cs="Times New Roman"/>
          <w:color w:val="222222"/>
          <w:sz w:val="24"/>
          <w:szCs w:val="24"/>
          <w:shd w:val="clear" w:color="auto" w:fill="FFFFFF"/>
        </w:rPr>
        <w:t>Pastakia &amp; Fischer, 2017).</w:t>
      </w:r>
      <w:r w:rsidR="00D825CA" w:rsidRPr="002A11A9">
        <w:rPr>
          <w:rFonts w:ascii="Times New Roman" w:hAnsi="Times New Roman" w:cs="Times New Roman"/>
          <w:sz w:val="24"/>
          <w:szCs w:val="24"/>
        </w:rPr>
        <w:t xml:space="preserve"> </w:t>
      </w:r>
    </w:p>
    <w:p w:rsidR="00A94EFA" w:rsidRPr="002A11A9" w:rsidRDefault="00FD4DBC" w:rsidP="00133C44">
      <w:pPr>
        <w:tabs>
          <w:tab w:val="left" w:pos="2445"/>
        </w:tabs>
        <w:rPr>
          <w:rFonts w:ascii="Times New Roman" w:hAnsi="Times New Roman" w:cs="Times New Roman"/>
          <w:sz w:val="24"/>
          <w:szCs w:val="24"/>
        </w:rPr>
      </w:pPr>
      <w:r w:rsidRPr="002A11A9">
        <w:rPr>
          <w:rFonts w:ascii="Times New Roman" w:hAnsi="Times New Roman" w:cs="Times New Roman"/>
          <w:sz w:val="24"/>
          <w:szCs w:val="24"/>
        </w:rPr>
        <w:t>Four modifiable danger factors are head supporters of chronic infection, related handicap, and unexpected passing: the absence of actual work, helpless nourishment, tobacco use, and extreme liquor utilization (</w:t>
      </w:r>
      <w:r w:rsidR="00EE0DEE" w:rsidRPr="002A11A9">
        <w:rPr>
          <w:rFonts w:ascii="Times New Roman" w:hAnsi="Times New Roman" w:cs="Times New Roman"/>
          <w:color w:val="222222"/>
          <w:sz w:val="24"/>
          <w:szCs w:val="24"/>
          <w:shd w:val="clear" w:color="auto" w:fill="FFFFFF"/>
        </w:rPr>
        <w:t>McGrady &amp; Moss, 2018</w:t>
      </w:r>
      <w:r w:rsidRPr="002A11A9">
        <w:rPr>
          <w:rFonts w:ascii="Times New Roman" w:hAnsi="Times New Roman" w:cs="Times New Roman"/>
          <w:sz w:val="24"/>
          <w:szCs w:val="24"/>
        </w:rPr>
        <w:t>). Albeit smoking has declined impressively over ongoing many years, around 20 % of Americans smoke. Paces of smoking are notably extraordinary across financial gatherings and a lot higher among monetarily distraught individuals (</w:t>
      </w:r>
      <w:r w:rsidR="00D825CA" w:rsidRPr="002A11A9">
        <w:rPr>
          <w:rFonts w:ascii="Times New Roman" w:hAnsi="Times New Roman" w:cs="Times New Roman"/>
          <w:color w:val="222222"/>
          <w:sz w:val="24"/>
          <w:szCs w:val="24"/>
          <w:shd w:val="clear" w:color="auto" w:fill="FFFFFF"/>
        </w:rPr>
        <w:t xml:space="preserve">Rooks &amp; Garrett, 2011). </w:t>
      </w:r>
      <w:r w:rsidRPr="002A11A9">
        <w:rPr>
          <w:rFonts w:ascii="Times New Roman" w:hAnsi="Times New Roman" w:cs="Times New Roman"/>
          <w:sz w:val="24"/>
          <w:szCs w:val="24"/>
        </w:rPr>
        <w:t>Internationally, passings from tobacco are required to increment significantly in low-pay nations. In the 20th century, tobacco-utilize executed around 100 million individuals around the world. In the twenty-first century, an expected one billion will p</w:t>
      </w:r>
      <w:r w:rsidRPr="002A11A9">
        <w:rPr>
          <w:rFonts w:ascii="Times New Roman" w:hAnsi="Times New Roman" w:cs="Times New Roman"/>
          <w:sz w:val="24"/>
          <w:szCs w:val="24"/>
        </w:rPr>
        <w:t>ass on rashly—a ten times increment. By 2030, more than 80 % of passings inferable from tobacco will be in low-pay nations (</w:t>
      </w:r>
      <w:r w:rsidR="00D825CA" w:rsidRPr="002A11A9">
        <w:rPr>
          <w:rFonts w:ascii="Times New Roman" w:hAnsi="Times New Roman" w:cs="Times New Roman"/>
          <w:color w:val="222222"/>
          <w:sz w:val="24"/>
          <w:szCs w:val="24"/>
          <w:shd w:val="clear" w:color="auto" w:fill="FFFFFF"/>
        </w:rPr>
        <w:t>Schmidt, 2016).</w:t>
      </w:r>
      <w:r w:rsidRPr="002A11A9">
        <w:rPr>
          <w:rFonts w:ascii="Times New Roman" w:hAnsi="Times New Roman" w:cs="Times New Roman"/>
          <w:sz w:val="24"/>
          <w:szCs w:val="24"/>
        </w:rPr>
        <w:t xml:space="preserve"> </w:t>
      </w:r>
    </w:p>
    <w:p w:rsidR="00A94EFA" w:rsidRPr="002A11A9" w:rsidRDefault="00A94EFA" w:rsidP="00133C44">
      <w:pPr>
        <w:tabs>
          <w:tab w:val="left" w:pos="2445"/>
        </w:tabs>
        <w:rPr>
          <w:rFonts w:ascii="Times New Roman" w:hAnsi="Times New Roman" w:cs="Times New Roman"/>
          <w:sz w:val="24"/>
          <w:szCs w:val="24"/>
        </w:rPr>
      </w:pPr>
    </w:p>
    <w:p w:rsidR="00C866CA" w:rsidRDefault="00FD4DBC" w:rsidP="00133C44">
      <w:pPr>
        <w:tabs>
          <w:tab w:val="left" w:pos="2445"/>
        </w:tabs>
        <w:rPr>
          <w:rFonts w:ascii="Times New Roman" w:hAnsi="Times New Roman" w:cs="Times New Roman"/>
          <w:sz w:val="24"/>
          <w:szCs w:val="24"/>
        </w:rPr>
      </w:pPr>
      <w:r w:rsidRPr="002A11A9">
        <w:rPr>
          <w:rFonts w:ascii="Times New Roman" w:hAnsi="Times New Roman" w:cs="Times New Roman"/>
          <w:sz w:val="24"/>
          <w:szCs w:val="24"/>
        </w:rPr>
        <w:lastRenderedPageBreak/>
        <w:t>On a basic level, assuming a danger factor can be adjusted, much ailment and enduring (grimness) and early passing</w:t>
      </w:r>
      <w:r w:rsidRPr="002A11A9">
        <w:rPr>
          <w:rFonts w:ascii="Times New Roman" w:hAnsi="Times New Roman" w:cs="Times New Roman"/>
          <w:sz w:val="24"/>
          <w:szCs w:val="24"/>
        </w:rPr>
        <w:t xml:space="preserve"> (mortality) can be evaded or forestalled. Like this, counteraction and wellbeing advancement arrangements look for manners by which the effect of elastic danger elements can be diminished. How one examines the causal pathways that lead to the improvement </w:t>
      </w:r>
      <w:r w:rsidRPr="002A11A9">
        <w:rPr>
          <w:rFonts w:ascii="Times New Roman" w:hAnsi="Times New Roman" w:cs="Times New Roman"/>
          <w:sz w:val="24"/>
          <w:szCs w:val="24"/>
        </w:rPr>
        <w:t>of danger components may urge one to investigate a scope of various intercessions. An undeniable beginning stage is zero in on singular conduct or way of life since what an individual does (or neglects to do) regularly assumes a focal part in chronic infec</w:t>
      </w:r>
      <w:r w:rsidRPr="002A11A9">
        <w:rPr>
          <w:rFonts w:ascii="Times New Roman" w:hAnsi="Times New Roman" w:cs="Times New Roman"/>
          <w:sz w:val="24"/>
          <w:szCs w:val="24"/>
        </w:rPr>
        <w:t>tion</w:t>
      </w:r>
    </w:p>
    <w:p w:rsidR="00C75318" w:rsidRPr="002A11A9" w:rsidRDefault="00FD4DBC" w:rsidP="00133C44">
      <w:pPr>
        <w:tabs>
          <w:tab w:val="left" w:pos="2445"/>
        </w:tabs>
        <w:rPr>
          <w:rFonts w:ascii="Times New Roman" w:hAnsi="Times New Roman" w:cs="Times New Roman"/>
          <w:color w:val="222222"/>
          <w:sz w:val="24"/>
          <w:szCs w:val="24"/>
          <w:shd w:val="clear" w:color="auto" w:fill="FFFFFF"/>
        </w:rPr>
      </w:pPr>
      <w:r w:rsidRPr="002A11A9">
        <w:rPr>
          <w:rFonts w:ascii="Times New Roman" w:hAnsi="Times New Roman" w:cs="Times New Roman"/>
          <w:sz w:val="24"/>
          <w:szCs w:val="24"/>
        </w:rPr>
        <w:t>Avoidance of illness implies neglecting the unfortunate propensities which numerous individuals apprec</w:t>
      </w:r>
      <w:r w:rsidRPr="002A11A9">
        <w:rPr>
          <w:rFonts w:ascii="Times New Roman" w:hAnsi="Times New Roman" w:cs="Times New Roman"/>
          <w:sz w:val="24"/>
          <w:szCs w:val="24"/>
        </w:rPr>
        <w:t>iate—[but the] cost of sloth, ravenousness, alcoholic intemperance, crazy driving, sexual furor, and smoking is currently public, and not an individual, obligation. This is legitimized as a unique opportunity—yet a short time's opportunity is another man's</w:t>
      </w:r>
      <w:r w:rsidRPr="002A11A9">
        <w:rPr>
          <w:rFonts w:ascii="Times New Roman" w:hAnsi="Times New Roman" w:cs="Times New Roman"/>
          <w:sz w:val="24"/>
          <w:szCs w:val="24"/>
        </w:rPr>
        <w:t xml:space="preserve"> shackle in assessments and protection expenses. I accept the possibility of a 'right' to wellbeing ought to be supplanted by the case of an exceptional individual commitment to protect one's wellbeing—a public obligation, maybe. The individual at that poi</w:t>
      </w:r>
      <w:r w:rsidRPr="002A11A9">
        <w:rPr>
          <w:rFonts w:ascii="Times New Roman" w:hAnsi="Times New Roman" w:cs="Times New Roman"/>
          <w:sz w:val="24"/>
          <w:szCs w:val="24"/>
        </w:rPr>
        <w:t>nt has the 'privilege' to anticipate assistance with data, open administrations of good quality, and ins</w:t>
      </w:r>
      <w:r w:rsidR="00C866CA">
        <w:rPr>
          <w:rFonts w:ascii="Times New Roman" w:hAnsi="Times New Roman" w:cs="Times New Roman"/>
          <w:sz w:val="24"/>
          <w:szCs w:val="24"/>
        </w:rPr>
        <w:t>ignificant monetary boundaries.</w:t>
      </w:r>
    </w:p>
    <w:p w:rsidR="00C5303B" w:rsidRPr="002A11A9" w:rsidRDefault="00FD4DBC" w:rsidP="00133C44">
      <w:pPr>
        <w:tabs>
          <w:tab w:val="left" w:pos="2445"/>
        </w:tabs>
        <w:jc w:val="center"/>
        <w:rPr>
          <w:rFonts w:ascii="Times New Roman" w:hAnsi="Times New Roman" w:cs="Times New Roman"/>
          <w:b/>
          <w:sz w:val="24"/>
          <w:szCs w:val="24"/>
        </w:rPr>
      </w:pPr>
      <w:r w:rsidRPr="002A11A9">
        <w:rPr>
          <w:rFonts w:ascii="Times New Roman" w:hAnsi="Times New Roman" w:cs="Times New Roman"/>
          <w:b/>
          <w:sz w:val="24"/>
          <w:szCs w:val="24"/>
        </w:rPr>
        <w:t>Objective</w:t>
      </w:r>
    </w:p>
    <w:p w:rsidR="00273E8C" w:rsidRPr="002A11A9" w:rsidRDefault="00FD4DBC" w:rsidP="00133C44">
      <w:pPr>
        <w:rPr>
          <w:rFonts w:ascii="Times New Roman" w:hAnsi="Times New Roman" w:cs="Times New Roman"/>
          <w:color w:val="000000" w:themeColor="text1"/>
          <w:sz w:val="24"/>
          <w:szCs w:val="24"/>
        </w:rPr>
      </w:pPr>
      <w:r w:rsidRPr="002A11A9">
        <w:rPr>
          <w:rFonts w:ascii="Times New Roman" w:hAnsi="Times New Roman" w:cs="Times New Roman"/>
          <w:color w:val="000000" w:themeColor="text1"/>
          <w:sz w:val="24"/>
          <w:szCs w:val="24"/>
        </w:rPr>
        <w:t>The following objectives will entirely guide the study.</w:t>
      </w:r>
      <w:r w:rsidR="00133C44">
        <w:rPr>
          <w:rFonts w:ascii="Times New Roman" w:hAnsi="Times New Roman" w:cs="Times New Roman"/>
          <w:color w:val="000000" w:themeColor="text1"/>
          <w:sz w:val="24"/>
          <w:szCs w:val="24"/>
        </w:rPr>
        <w:tab/>
      </w:r>
      <w:r w:rsidR="00133C44">
        <w:rPr>
          <w:rFonts w:ascii="Times New Roman" w:hAnsi="Times New Roman" w:cs="Times New Roman"/>
          <w:color w:val="000000" w:themeColor="text1"/>
          <w:sz w:val="24"/>
          <w:szCs w:val="24"/>
        </w:rPr>
        <w:tab/>
      </w:r>
      <w:r w:rsidR="00133C44">
        <w:rPr>
          <w:rFonts w:ascii="Times New Roman" w:hAnsi="Times New Roman" w:cs="Times New Roman"/>
          <w:color w:val="000000" w:themeColor="text1"/>
          <w:sz w:val="24"/>
          <w:szCs w:val="24"/>
        </w:rPr>
        <w:tab/>
      </w:r>
      <w:r w:rsidR="00133C44">
        <w:rPr>
          <w:rFonts w:ascii="Times New Roman" w:hAnsi="Times New Roman" w:cs="Times New Roman"/>
          <w:color w:val="000000" w:themeColor="text1"/>
          <w:sz w:val="24"/>
          <w:szCs w:val="24"/>
        </w:rPr>
        <w:tab/>
      </w:r>
      <w:r w:rsidR="00133C44">
        <w:rPr>
          <w:rFonts w:ascii="Times New Roman" w:hAnsi="Times New Roman" w:cs="Times New Roman"/>
          <w:color w:val="000000" w:themeColor="text1"/>
          <w:sz w:val="24"/>
          <w:szCs w:val="24"/>
        </w:rPr>
        <w:tab/>
      </w:r>
      <w:r w:rsidR="00133C44">
        <w:rPr>
          <w:rFonts w:ascii="Times New Roman" w:hAnsi="Times New Roman" w:cs="Times New Roman"/>
          <w:color w:val="000000" w:themeColor="text1"/>
          <w:sz w:val="24"/>
          <w:szCs w:val="24"/>
        </w:rPr>
        <w:tab/>
      </w:r>
    </w:p>
    <w:p w:rsidR="00273E8C" w:rsidRPr="00133C44" w:rsidRDefault="00FD4DBC" w:rsidP="00133C44">
      <w:pPr>
        <w:pStyle w:val="ListParagraph"/>
        <w:numPr>
          <w:ilvl w:val="0"/>
          <w:numId w:val="3"/>
        </w:numPr>
        <w:spacing w:line="480" w:lineRule="auto"/>
        <w:ind w:left="1434" w:hanging="357"/>
        <w:rPr>
          <w:rFonts w:ascii="Times New Roman" w:hAnsi="Times New Roman" w:cs="Times New Roman"/>
          <w:sz w:val="24"/>
        </w:rPr>
      </w:pPr>
      <w:r w:rsidRPr="00133C44">
        <w:rPr>
          <w:rFonts w:ascii="Times New Roman" w:hAnsi="Times New Roman" w:cs="Times New Roman"/>
          <w:sz w:val="24"/>
        </w:rPr>
        <w:t xml:space="preserve">To determine whether the level of income affects </w:t>
      </w:r>
      <w:r w:rsidR="005C0511">
        <w:rPr>
          <w:rFonts w:ascii="Times New Roman" w:hAnsi="Times New Roman" w:cs="Times New Roman"/>
          <w:sz w:val="24"/>
        </w:rPr>
        <w:t>c</w:t>
      </w:r>
      <w:bookmarkStart w:id="0" w:name="_GoBack"/>
      <w:bookmarkEnd w:id="0"/>
      <w:r w:rsidR="00C75318" w:rsidRPr="00133C44">
        <w:rPr>
          <w:rFonts w:ascii="Times New Roman" w:hAnsi="Times New Roman" w:cs="Times New Roman"/>
          <w:sz w:val="24"/>
        </w:rPr>
        <w:t>hronic disease</w:t>
      </w:r>
      <w:r w:rsidRPr="00133C44">
        <w:rPr>
          <w:rFonts w:ascii="Times New Roman" w:hAnsi="Times New Roman" w:cs="Times New Roman"/>
          <w:sz w:val="24"/>
        </w:rPr>
        <w:t xml:space="preserve"> conditions.</w:t>
      </w:r>
    </w:p>
    <w:p w:rsidR="00273E8C" w:rsidRPr="00133C44" w:rsidRDefault="00FD4DBC" w:rsidP="00133C44">
      <w:pPr>
        <w:pStyle w:val="ListParagraph"/>
        <w:numPr>
          <w:ilvl w:val="0"/>
          <w:numId w:val="3"/>
        </w:numPr>
        <w:spacing w:line="480" w:lineRule="auto"/>
        <w:ind w:left="1434" w:hanging="357"/>
        <w:rPr>
          <w:rFonts w:ascii="Times New Roman" w:hAnsi="Times New Roman" w:cs="Times New Roman"/>
          <w:sz w:val="24"/>
        </w:rPr>
      </w:pPr>
      <w:r w:rsidRPr="00133C44">
        <w:rPr>
          <w:rFonts w:ascii="Times New Roman" w:hAnsi="Times New Roman" w:cs="Times New Roman"/>
          <w:sz w:val="24"/>
        </w:rPr>
        <w:t xml:space="preserve">To determine whether the employment status has an impact on </w:t>
      </w:r>
      <w:r w:rsidR="00C75318" w:rsidRPr="00133C44">
        <w:rPr>
          <w:rFonts w:ascii="Times New Roman" w:hAnsi="Times New Roman" w:cs="Times New Roman"/>
          <w:sz w:val="24"/>
        </w:rPr>
        <w:t>chronic disease</w:t>
      </w:r>
      <w:r w:rsidRPr="00133C44">
        <w:rPr>
          <w:rFonts w:ascii="Times New Roman" w:hAnsi="Times New Roman" w:cs="Times New Roman"/>
          <w:sz w:val="24"/>
        </w:rPr>
        <w:t xml:space="preserve"> conditions.</w:t>
      </w:r>
    </w:p>
    <w:p w:rsidR="00C5303B" w:rsidRPr="00133C44" w:rsidRDefault="00FD4DBC" w:rsidP="00133C44">
      <w:pPr>
        <w:pStyle w:val="ListParagraph"/>
        <w:numPr>
          <w:ilvl w:val="0"/>
          <w:numId w:val="3"/>
        </w:numPr>
        <w:spacing w:line="480" w:lineRule="auto"/>
        <w:ind w:left="1434" w:hanging="357"/>
        <w:rPr>
          <w:rFonts w:ascii="Times New Roman" w:hAnsi="Times New Roman" w:cs="Times New Roman"/>
          <w:sz w:val="24"/>
        </w:rPr>
      </w:pPr>
      <w:r w:rsidRPr="00133C44">
        <w:rPr>
          <w:rFonts w:ascii="Times New Roman" w:hAnsi="Times New Roman" w:cs="Times New Roman"/>
          <w:sz w:val="24"/>
        </w:rPr>
        <w:t xml:space="preserve">To determine whether the collection mechanism has an impact on </w:t>
      </w:r>
      <w:r w:rsidR="00C75318" w:rsidRPr="00133C44">
        <w:rPr>
          <w:rFonts w:ascii="Times New Roman" w:hAnsi="Times New Roman" w:cs="Times New Roman"/>
          <w:sz w:val="24"/>
        </w:rPr>
        <w:t>chronic disease conditions.</w:t>
      </w:r>
    </w:p>
    <w:p w:rsidR="002C1BC8" w:rsidRPr="002A11A9" w:rsidRDefault="00FD4DBC" w:rsidP="00133C44">
      <w:pPr>
        <w:tabs>
          <w:tab w:val="left" w:pos="2445"/>
        </w:tabs>
        <w:jc w:val="center"/>
        <w:rPr>
          <w:rFonts w:ascii="Times New Roman" w:hAnsi="Times New Roman" w:cs="Times New Roman"/>
          <w:b/>
          <w:sz w:val="24"/>
          <w:szCs w:val="24"/>
        </w:rPr>
      </w:pPr>
      <w:r w:rsidRPr="002A11A9">
        <w:rPr>
          <w:rFonts w:ascii="Times New Roman" w:hAnsi="Times New Roman" w:cs="Times New Roman"/>
          <w:b/>
          <w:sz w:val="24"/>
          <w:szCs w:val="24"/>
        </w:rPr>
        <w:lastRenderedPageBreak/>
        <w:t>M</w:t>
      </w:r>
      <w:r w:rsidRPr="002A11A9">
        <w:rPr>
          <w:rFonts w:ascii="Times New Roman" w:hAnsi="Times New Roman" w:cs="Times New Roman"/>
          <w:b/>
          <w:sz w:val="24"/>
          <w:szCs w:val="24"/>
        </w:rPr>
        <w:t xml:space="preserve">aterials </w:t>
      </w:r>
      <w:r w:rsidR="003E3A38" w:rsidRPr="002A11A9">
        <w:rPr>
          <w:rFonts w:ascii="Times New Roman" w:hAnsi="Times New Roman" w:cs="Times New Roman"/>
          <w:b/>
          <w:sz w:val="24"/>
          <w:szCs w:val="24"/>
        </w:rPr>
        <w:t>a</w:t>
      </w:r>
      <w:r w:rsidRPr="002A11A9">
        <w:rPr>
          <w:rFonts w:ascii="Times New Roman" w:hAnsi="Times New Roman" w:cs="Times New Roman"/>
          <w:b/>
          <w:sz w:val="24"/>
          <w:szCs w:val="24"/>
        </w:rPr>
        <w:t>nd Methods</w:t>
      </w:r>
      <w:r w:rsidR="002B2E35" w:rsidRPr="002A11A9">
        <w:rPr>
          <w:rFonts w:ascii="Times New Roman" w:hAnsi="Times New Roman" w:cs="Times New Roman"/>
          <w:b/>
          <w:sz w:val="24"/>
          <w:szCs w:val="24"/>
        </w:rPr>
        <w:t xml:space="preserve"> and Finding</w:t>
      </w:r>
    </w:p>
    <w:p w:rsidR="00EA606E" w:rsidRPr="002A11A9" w:rsidRDefault="00FD4DBC" w:rsidP="00133C44">
      <w:pPr>
        <w:tabs>
          <w:tab w:val="left" w:pos="2445"/>
        </w:tabs>
        <w:rPr>
          <w:rFonts w:ascii="Times New Roman" w:hAnsi="Times New Roman" w:cs="Times New Roman"/>
          <w:b/>
          <w:sz w:val="24"/>
          <w:szCs w:val="24"/>
        </w:rPr>
      </w:pPr>
      <w:r w:rsidRPr="002A11A9">
        <w:rPr>
          <w:rFonts w:ascii="Times New Roman" w:hAnsi="Times New Roman" w:cs="Times New Roman"/>
          <w:b/>
          <w:sz w:val="24"/>
          <w:szCs w:val="24"/>
        </w:rPr>
        <w:t>Scoping Review</w:t>
      </w:r>
    </w:p>
    <w:p w:rsidR="002C1BC8" w:rsidRPr="002A11A9" w:rsidRDefault="00FD4DBC" w:rsidP="00133C44">
      <w:pPr>
        <w:tabs>
          <w:tab w:val="left" w:pos="2445"/>
        </w:tabs>
        <w:rPr>
          <w:rFonts w:ascii="Times New Roman" w:hAnsi="Times New Roman" w:cs="Times New Roman"/>
          <w:sz w:val="24"/>
          <w:szCs w:val="24"/>
        </w:rPr>
      </w:pPr>
      <w:r w:rsidRPr="002A11A9">
        <w:rPr>
          <w:rFonts w:ascii="Times New Roman" w:hAnsi="Times New Roman" w:cs="Times New Roman"/>
          <w:sz w:val="24"/>
          <w:szCs w:val="24"/>
        </w:rPr>
        <w:t xml:space="preserve">I applied the accompanying information bases to distinguish necessary examinations: Angeline, CINAHL Plus with Full Text, MEDLINE, Nursing and Allied Health Collection: Exhaustive, PsycINFO, Cochrane </w:t>
      </w:r>
      <w:r w:rsidRPr="002A11A9">
        <w:rPr>
          <w:rFonts w:ascii="Times New Roman" w:hAnsi="Times New Roman" w:cs="Times New Roman"/>
          <w:sz w:val="24"/>
          <w:szCs w:val="24"/>
        </w:rPr>
        <w:t>Database of Systematic Reviews, and SocINDEX with Full Text. Articles distributed in peer-assessed diaries from January 1, 2019, and ahead were remembered for looking for the items in which the titles, modified works, and catchphrases were screened. Two hu</w:t>
      </w:r>
      <w:r w:rsidRPr="002A11A9">
        <w:rPr>
          <w:rFonts w:ascii="Times New Roman" w:hAnsi="Times New Roman" w:cs="Times New Roman"/>
          <w:sz w:val="24"/>
          <w:szCs w:val="24"/>
        </w:rPr>
        <w:t>ndred two were avoided as they were either copy, didn't have an Indigenous or CDIP center, 37 were conveyed Best Practice entry. One program caught in an efficient survey was distinguished and included for an aggregate of five chose audit plans.</w:t>
      </w:r>
    </w:p>
    <w:p w:rsidR="00EA606E" w:rsidRPr="002A11A9" w:rsidRDefault="00FD4DBC" w:rsidP="00133C44">
      <w:pPr>
        <w:tabs>
          <w:tab w:val="left" w:pos="2445"/>
        </w:tabs>
        <w:jc w:val="left"/>
        <w:rPr>
          <w:rFonts w:ascii="Times New Roman" w:hAnsi="Times New Roman" w:cs="Times New Roman"/>
          <w:b/>
          <w:sz w:val="24"/>
          <w:szCs w:val="24"/>
        </w:rPr>
      </w:pPr>
      <w:r w:rsidRPr="002A11A9">
        <w:rPr>
          <w:rFonts w:ascii="Times New Roman" w:hAnsi="Times New Roman" w:cs="Times New Roman"/>
          <w:b/>
          <w:sz w:val="24"/>
          <w:szCs w:val="24"/>
        </w:rPr>
        <w:t>Environmen</w:t>
      </w:r>
      <w:r w:rsidRPr="002A11A9">
        <w:rPr>
          <w:rFonts w:ascii="Times New Roman" w:hAnsi="Times New Roman" w:cs="Times New Roman"/>
          <w:b/>
          <w:sz w:val="24"/>
          <w:szCs w:val="24"/>
        </w:rPr>
        <w:t>tal Scan</w:t>
      </w:r>
    </w:p>
    <w:p w:rsidR="00EA606E" w:rsidRPr="002A11A9" w:rsidRDefault="00FD4DBC" w:rsidP="00133C44">
      <w:pPr>
        <w:tabs>
          <w:tab w:val="left" w:pos="2445"/>
        </w:tabs>
        <w:rPr>
          <w:rFonts w:ascii="Times New Roman" w:hAnsi="Times New Roman" w:cs="Times New Roman"/>
          <w:sz w:val="24"/>
          <w:szCs w:val="24"/>
        </w:rPr>
      </w:pPr>
      <w:r w:rsidRPr="002A11A9">
        <w:rPr>
          <w:rFonts w:ascii="Times New Roman" w:hAnsi="Times New Roman" w:cs="Times New Roman"/>
          <w:sz w:val="24"/>
          <w:szCs w:val="24"/>
        </w:rPr>
        <w:t>To finish the natural sweep, an intensive site search of general wellbeing. Indigenous and non-Indigenous associations were directed that elaborate looking through sites of 82 associations, 26 of which offered Indigenous-explicit CDIP programming.</w:t>
      </w:r>
      <w:r w:rsidRPr="002A11A9">
        <w:rPr>
          <w:rFonts w:ascii="Times New Roman" w:hAnsi="Times New Roman" w:cs="Times New Roman"/>
          <w:sz w:val="24"/>
          <w:szCs w:val="24"/>
        </w:rPr>
        <w:t xml:space="preserve"> Of the 26 associations, three were general wellbeing units, seven were Aboriginal wellbeing access focuses, seven were Indigenous kinship places, five were Indigenous wellbeing associations, and four were non-Indigenous associations with an Indigenous seg</w:t>
      </w:r>
      <w:r w:rsidRPr="002A11A9">
        <w:rPr>
          <w:rFonts w:ascii="Times New Roman" w:hAnsi="Times New Roman" w:cs="Times New Roman"/>
          <w:sz w:val="24"/>
          <w:szCs w:val="24"/>
        </w:rPr>
        <w:t>ment. For instance, two of the distinguished associations were local area wellbeing focuses that proposal to program for both the general and Indigenous populaces. Altogether, 72 Indigenous-explicit projects were recognized from the 26 associations remembe</w:t>
      </w:r>
      <w:r w:rsidRPr="002A11A9">
        <w:rPr>
          <w:rFonts w:ascii="Times New Roman" w:hAnsi="Times New Roman" w:cs="Times New Roman"/>
          <w:sz w:val="24"/>
          <w:szCs w:val="24"/>
        </w:rPr>
        <w:t>red for the natural output.</w:t>
      </w:r>
    </w:p>
    <w:p w:rsidR="0077027D" w:rsidRPr="002A11A9" w:rsidRDefault="00FD4DBC" w:rsidP="00133C44">
      <w:pPr>
        <w:tabs>
          <w:tab w:val="left" w:pos="2445"/>
        </w:tabs>
        <w:rPr>
          <w:rFonts w:ascii="Times New Roman" w:hAnsi="Times New Roman" w:cs="Times New Roman"/>
          <w:b/>
          <w:sz w:val="24"/>
          <w:szCs w:val="24"/>
        </w:rPr>
      </w:pPr>
      <w:r w:rsidRPr="002A11A9">
        <w:rPr>
          <w:rFonts w:ascii="Times New Roman" w:hAnsi="Times New Roman" w:cs="Times New Roman"/>
          <w:b/>
          <w:sz w:val="24"/>
          <w:szCs w:val="24"/>
        </w:rPr>
        <w:t>Programs</w:t>
      </w:r>
    </w:p>
    <w:p w:rsidR="002C1BC8" w:rsidRPr="002A11A9" w:rsidRDefault="00FD4DBC" w:rsidP="00133C44">
      <w:pPr>
        <w:tabs>
          <w:tab w:val="left" w:pos="2445"/>
        </w:tabs>
        <w:rPr>
          <w:rFonts w:ascii="Times New Roman" w:hAnsi="Times New Roman" w:cs="Times New Roman"/>
          <w:sz w:val="24"/>
          <w:szCs w:val="24"/>
        </w:rPr>
      </w:pPr>
      <w:r w:rsidRPr="002A11A9">
        <w:rPr>
          <w:rFonts w:ascii="Times New Roman" w:hAnsi="Times New Roman" w:cs="Times New Roman"/>
          <w:sz w:val="24"/>
          <w:szCs w:val="24"/>
        </w:rPr>
        <w:lastRenderedPageBreak/>
        <w:t xml:space="preserve">Altogether, 52 projects were distinguished through the perusing survey and natural sweep and were assessed for social importance utilizing measures from the 41 WTT structure. All recognized projects were remembered for </w:t>
      </w:r>
      <w:r w:rsidRPr="002A11A9">
        <w:rPr>
          <w:rFonts w:ascii="Times New Roman" w:hAnsi="Times New Roman" w:cs="Times New Roman"/>
          <w:sz w:val="24"/>
          <w:szCs w:val="24"/>
        </w:rPr>
        <w:t>the stock of projects outline, showing whether they met the criteria (Yes), didn't meet the rules (No), or it couldn't decide (UD). To be viewed as meeting the WTT models and in this manner socially pertinent, a base score of 18 should be accomplished (</w:t>
      </w:r>
      <w:r w:rsidRPr="002A11A9">
        <w:rPr>
          <w:rFonts w:ascii="Times New Roman" w:hAnsi="Times New Roman" w:cs="Times New Roman"/>
          <w:color w:val="222222"/>
          <w:sz w:val="24"/>
          <w:szCs w:val="24"/>
          <w:shd w:val="clear" w:color="auto" w:fill="FFFFFF"/>
        </w:rPr>
        <w:t>Bla</w:t>
      </w:r>
      <w:r w:rsidRPr="002A11A9">
        <w:rPr>
          <w:rFonts w:ascii="Times New Roman" w:hAnsi="Times New Roman" w:cs="Times New Roman"/>
          <w:color w:val="222222"/>
          <w:sz w:val="24"/>
          <w:szCs w:val="24"/>
          <w:shd w:val="clear" w:color="auto" w:fill="FFFFFF"/>
        </w:rPr>
        <w:t>ckman, 2018).</w:t>
      </w:r>
      <w:r w:rsidRPr="002A11A9">
        <w:rPr>
          <w:rFonts w:ascii="Times New Roman" w:hAnsi="Times New Roman" w:cs="Times New Roman"/>
          <w:sz w:val="24"/>
          <w:szCs w:val="24"/>
        </w:rPr>
        <w:t xml:space="preserve"> Of the 52 projects evaluated, 30 met the WTT system measures, one didn't, and 21 couldn't decide. Shared traits among every one of the different associations' projects were conveyed at a local area level with every one of the projects carried</w:t>
      </w:r>
      <w:r w:rsidRPr="002A11A9">
        <w:rPr>
          <w:rFonts w:ascii="Times New Roman" w:hAnsi="Times New Roman" w:cs="Times New Roman"/>
          <w:sz w:val="24"/>
          <w:szCs w:val="24"/>
        </w:rPr>
        <w:t xml:space="preserve"> out in other local area components, for example, public venues, supermarkets, or schools. This is a significant thought, as local area-based projects are more successful among the Indigenous populace than independent intercessions. They arrive at a more m</w:t>
      </w:r>
      <w:r w:rsidRPr="002A11A9">
        <w:rPr>
          <w:rFonts w:ascii="Times New Roman" w:hAnsi="Times New Roman" w:cs="Times New Roman"/>
          <w:sz w:val="24"/>
          <w:szCs w:val="24"/>
        </w:rPr>
        <w:t>eaningful and more extensive range of the public (</w:t>
      </w:r>
      <w:r w:rsidR="007B4967" w:rsidRPr="002A11A9">
        <w:rPr>
          <w:rFonts w:ascii="Times New Roman" w:hAnsi="Times New Roman" w:cs="Times New Roman"/>
          <w:color w:val="222222"/>
          <w:sz w:val="24"/>
          <w:szCs w:val="24"/>
          <w:shd w:val="clear" w:color="auto" w:fill="FFFFFF"/>
        </w:rPr>
        <w:t xml:space="preserve">Blackman, 2018). </w:t>
      </w:r>
      <w:r w:rsidRPr="002A11A9">
        <w:rPr>
          <w:rFonts w:ascii="Times New Roman" w:hAnsi="Times New Roman" w:cs="Times New Roman"/>
          <w:sz w:val="24"/>
          <w:szCs w:val="24"/>
        </w:rPr>
        <w:t>Local area-based mediations are viewed as the ideal methodology as they permit networks to connect with accomplices in creating and executing CDIP projects and activities (</w:t>
      </w:r>
      <w:r w:rsidR="00364B21" w:rsidRPr="002A11A9">
        <w:rPr>
          <w:rFonts w:ascii="Times New Roman" w:hAnsi="Times New Roman" w:cs="Times New Roman"/>
          <w:color w:val="222222"/>
          <w:sz w:val="24"/>
          <w:szCs w:val="24"/>
          <w:shd w:val="clear" w:color="auto" w:fill="FFFFFF"/>
        </w:rPr>
        <w:t xml:space="preserve">Blackman, 2018). </w:t>
      </w:r>
      <w:r w:rsidRPr="002A11A9">
        <w:rPr>
          <w:rFonts w:ascii="Times New Roman" w:hAnsi="Times New Roman" w:cs="Times New Roman"/>
          <w:sz w:val="24"/>
          <w:szCs w:val="24"/>
        </w:rPr>
        <w:t>The most widely recognized subject zones were tobacco counteraction and suspension, good dieting and diligent work, emotional wellbeing and prosperity, and fundamental abilities.</w:t>
      </w:r>
    </w:p>
    <w:p w:rsidR="002A11A9" w:rsidRPr="002A11A9" w:rsidRDefault="00FD4DBC" w:rsidP="00133C44">
      <w:pPr>
        <w:tabs>
          <w:tab w:val="left" w:pos="2445"/>
        </w:tabs>
        <w:rPr>
          <w:rFonts w:ascii="Times New Roman" w:hAnsi="Times New Roman" w:cs="Times New Roman"/>
          <w:b/>
          <w:sz w:val="24"/>
          <w:szCs w:val="24"/>
        </w:rPr>
      </w:pPr>
      <w:r w:rsidRPr="002A11A9">
        <w:rPr>
          <w:rFonts w:ascii="Times New Roman" w:hAnsi="Times New Roman" w:cs="Times New Roman"/>
          <w:b/>
          <w:sz w:val="24"/>
          <w:szCs w:val="24"/>
        </w:rPr>
        <w:t>Healthy eating and physical activity.</w:t>
      </w:r>
    </w:p>
    <w:p w:rsidR="002A11A9" w:rsidRPr="002A11A9" w:rsidRDefault="00FD4DBC" w:rsidP="00133C44">
      <w:pPr>
        <w:pStyle w:val="ListParagraph"/>
        <w:tabs>
          <w:tab w:val="left" w:pos="2445"/>
        </w:tabs>
        <w:spacing w:line="480" w:lineRule="auto"/>
        <w:ind w:left="0"/>
        <w:rPr>
          <w:rFonts w:ascii="Times New Roman" w:hAnsi="Times New Roman" w:cs="Times New Roman"/>
          <w:sz w:val="24"/>
          <w:szCs w:val="24"/>
        </w:rPr>
      </w:pPr>
      <w:r w:rsidRPr="002A11A9">
        <w:rPr>
          <w:rFonts w:ascii="Times New Roman" w:hAnsi="Times New Roman" w:cs="Times New Roman"/>
          <w:sz w:val="24"/>
          <w:szCs w:val="24"/>
        </w:rPr>
        <w:t xml:space="preserve">The Indigenous populace has customarily depended on chasing, fishing, and food. </w:t>
      </w:r>
    </w:p>
    <w:p w:rsidR="002C1BC8" w:rsidRPr="001C655F" w:rsidRDefault="00FD4DBC" w:rsidP="00133C44">
      <w:pPr>
        <w:pStyle w:val="ListParagraph"/>
        <w:tabs>
          <w:tab w:val="left" w:pos="2445"/>
        </w:tabs>
        <w:spacing w:line="480" w:lineRule="auto"/>
        <w:ind w:left="0"/>
        <w:rPr>
          <w:rFonts w:ascii="Times New Roman" w:hAnsi="Times New Roman" w:cs="Times New Roman"/>
          <w:sz w:val="24"/>
          <w:szCs w:val="24"/>
        </w:rPr>
      </w:pPr>
      <w:r w:rsidRPr="002A11A9">
        <w:rPr>
          <w:rFonts w:ascii="Times New Roman" w:hAnsi="Times New Roman" w:cs="Times New Roman"/>
          <w:sz w:val="24"/>
          <w:szCs w:val="24"/>
        </w:rPr>
        <w:t>They share a lifestyle, bringing about undeniable degrees of active work and supplementing wide food varieties like caribou, moose, and deer. Nonetheless, in the course of recent many years, there has been a prominent decrease in the conventional ways of l</w:t>
      </w:r>
      <w:r w:rsidRPr="002A11A9">
        <w:rPr>
          <w:rFonts w:ascii="Times New Roman" w:hAnsi="Times New Roman" w:cs="Times New Roman"/>
          <w:sz w:val="24"/>
          <w:szCs w:val="24"/>
        </w:rPr>
        <w:t>ife among the Indigenous populace, a way of life change that has brought about diminished actual work levels, just as a decrease in 51 utilization of traditional food sources and expanded admission of non-supplement wide food varieties that are high in fat</w:t>
      </w:r>
      <w:r w:rsidRPr="002A11A9">
        <w:rPr>
          <w:rFonts w:ascii="Times New Roman" w:hAnsi="Times New Roman" w:cs="Times New Roman"/>
          <w:sz w:val="24"/>
          <w:szCs w:val="24"/>
        </w:rPr>
        <w:t xml:space="preserve"> and sugar. Thus, individuals experience a high commonness of </w:t>
      </w:r>
      <w:r w:rsidRPr="002A11A9">
        <w:rPr>
          <w:rFonts w:ascii="Times New Roman" w:hAnsi="Times New Roman" w:cs="Times New Roman"/>
          <w:sz w:val="24"/>
          <w:szCs w:val="24"/>
        </w:rPr>
        <w:lastRenderedPageBreak/>
        <w:t>overweight and heftiness straightforwardly connected with high paces of type 2 diabetes and cardiovascular sickness (Johnson and Sánchez-Lozada, 2007). Discoveries from the Community Health Surv</w:t>
      </w:r>
      <w:r w:rsidRPr="002A11A9">
        <w:rPr>
          <w:rFonts w:ascii="Times New Roman" w:hAnsi="Times New Roman" w:cs="Times New Roman"/>
          <w:sz w:val="24"/>
          <w:szCs w:val="24"/>
        </w:rPr>
        <w:t xml:space="preserve">ey </w:t>
      </w:r>
      <w:r w:rsidRPr="001C655F">
        <w:rPr>
          <w:rFonts w:ascii="Times New Roman" w:hAnsi="Times New Roman" w:cs="Times New Roman"/>
          <w:sz w:val="24"/>
          <w:szCs w:val="24"/>
        </w:rPr>
        <w:t>propose that 26% of the Indigenous populace are corpulently contrasted with 16% of non-Indigenous grown-ups. Also, pervasiveness paces of heftiness among Indigenous youth are outstandingly high, with over 40% of the populace being overweight or stout (B</w:t>
      </w:r>
      <w:r w:rsidRPr="001C655F">
        <w:rPr>
          <w:rFonts w:ascii="Times New Roman" w:hAnsi="Times New Roman" w:cs="Times New Roman"/>
          <w:sz w:val="24"/>
          <w:szCs w:val="24"/>
        </w:rPr>
        <w:t>lackman, 2018)</w:t>
      </w:r>
    </w:p>
    <w:p w:rsidR="005841BC" w:rsidRPr="001C655F" w:rsidRDefault="00FD4DBC" w:rsidP="00133C44">
      <w:pPr>
        <w:tabs>
          <w:tab w:val="left" w:pos="2445"/>
        </w:tabs>
        <w:jc w:val="center"/>
        <w:rPr>
          <w:rFonts w:ascii="Times New Roman" w:hAnsi="Times New Roman" w:cs="Times New Roman"/>
          <w:b/>
          <w:sz w:val="24"/>
          <w:szCs w:val="24"/>
        </w:rPr>
      </w:pPr>
      <w:r w:rsidRPr="001C655F">
        <w:rPr>
          <w:rFonts w:ascii="Times New Roman" w:hAnsi="Times New Roman" w:cs="Times New Roman"/>
          <w:b/>
          <w:sz w:val="24"/>
          <w:szCs w:val="24"/>
        </w:rPr>
        <w:t xml:space="preserve">Conclusion </w:t>
      </w:r>
    </w:p>
    <w:p w:rsidR="005841BC" w:rsidRPr="001C655F" w:rsidRDefault="00FD4DBC" w:rsidP="00133C44">
      <w:pPr>
        <w:tabs>
          <w:tab w:val="left" w:pos="2445"/>
        </w:tabs>
        <w:rPr>
          <w:rFonts w:ascii="Times New Roman" w:hAnsi="Times New Roman" w:cs="Times New Roman"/>
          <w:sz w:val="24"/>
          <w:szCs w:val="24"/>
        </w:rPr>
      </w:pPr>
      <w:r w:rsidRPr="001C655F">
        <w:rPr>
          <w:rFonts w:ascii="Times New Roman" w:hAnsi="Times New Roman" w:cs="Times New Roman"/>
          <w:sz w:val="24"/>
          <w:szCs w:val="24"/>
        </w:rPr>
        <w:t>Frameworks were set up by the joint government, requiring general wellbeing units to draw in the Indigenous populace to execute socially proper wellbeing advancement programming. As this is another center of the center for most g</w:t>
      </w:r>
      <w:r w:rsidRPr="001C655F">
        <w:rPr>
          <w:rFonts w:ascii="Times New Roman" w:hAnsi="Times New Roman" w:cs="Times New Roman"/>
          <w:sz w:val="24"/>
          <w:szCs w:val="24"/>
        </w:rPr>
        <w:t>eneral wellbeing units, critical inquiries and worries are pushing ahead. The DNP capstone undertaking's objective was to build up a stock of existing persistent sickness and injury avoidance programs that explicitly focus on the Indigenous populace. To do</w:t>
      </w:r>
      <w:r w:rsidRPr="001C655F">
        <w:rPr>
          <w:rFonts w:ascii="Times New Roman" w:hAnsi="Times New Roman" w:cs="Times New Roman"/>
          <w:sz w:val="24"/>
          <w:szCs w:val="24"/>
        </w:rPr>
        <w:t xml:space="preserve"> as such, the venture involved finishing a checking audit and 70 natural outputs of general wellbeing units, Indigenous associations, and non-Indigenous associations with an Indigenous segment.</w:t>
      </w:r>
    </w:p>
    <w:p w:rsidR="005841BC" w:rsidRDefault="005841BC" w:rsidP="005841BC">
      <w:pPr>
        <w:tabs>
          <w:tab w:val="left" w:pos="2445"/>
        </w:tabs>
      </w:pPr>
    </w:p>
    <w:p w:rsidR="005841BC" w:rsidRDefault="005841BC" w:rsidP="005841BC">
      <w:pPr>
        <w:tabs>
          <w:tab w:val="left" w:pos="2445"/>
        </w:tabs>
      </w:pPr>
    </w:p>
    <w:p w:rsidR="00D01202" w:rsidRDefault="00D01202" w:rsidP="005841BC">
      <w:pPr>
        <w:tabs>
          <w:tab w:val="left" w:pos="2445"/>
        </w:tabs>
      </w:pPr>
    </w:p>
    <w:p w:rsidR="00C866CA" w:rsidRDefault="00C866CA" w:rsidP="005841BC">
      <w:pPr>
        <w:tabs>
          <w:tab w:val="left" w:pos="2445"/>
        </w:tabs>
      </w:pPr>
    </w:p>
    <w:p w:rsidR="00D01202" w:rsidRDefault="00D01202" w:rsidP="005841BC">
      <w:pPr>
        <w:tabs>
          <w:tab w:val="left" w:pos="2445"/>
        </w:tabs>
      </w:pPr>
    </w:p>
    <w:p w:rsidR="002C1BC8" w:rsidRDefault="002C1BC8" w:rsidP="005841BC">
      <w:pPr>
        <w:tabs>
          <w:tab w:val="left" w:pos="2445"/>
        </w:tabs>
      </w:pPr>
    </w:p>
    <w:p w:rsidR="001C655F" w:rsidRDefault="001C655F" w:rsidP="005841BC">
      <w:pPr>
        <w:tabs>
          <w:tab w:val="left" w:pos="2445"/>
        </w:tabs>
      </w:pPr>
    </w:p>
    <w:p w:rsidR="00D01202" w:rsidRPr="00D01202" w:rsidRDefault="00FD4DBC" w:rsidP="00D01202">
      <w:pPr>
        <w:tabs>
          <w:tab w:val="left" w:pos="2445"/>
        </w:tabs>
        <w:jc w:val="center"/>
      </w:pPr>
      <w:r>
        <w:lastRenderedPageBreak/>
        <w:t>Reference</w:t>
      </w:r>
    </w:p>
    <w:p w:rsidR="00D01202" w:rsidRPr="00D01202" w:rsidRDefault="00D01202" w:rsidP="00D01202">
      <w:pPr>
        <w:ind w:left="720" w:hanging="720"/>
        <w:rPr>
          <w:rFonts w:ascii="Times New Roman" w:hAnsi="Times New Roman" w:cs="Times New Roman"/>
          <w:sz w:val="24"/>
        </w:rPr>
      </w:pPr>
      <w:proofErr w:type="spellStart"/>
      <w:r w:rsidRPr="00D01202">
        <w:rPr>
          <w:rFonts w:ascii="Times New Roman" w:hAnsi="Times New Roman" w:cs="Times New Roman"/>
          <w:sz w:val="24"/>
        </w:rPr>
        <w:t>Abara</w:t>
      </w:r>
      <w:proofErr w:type="spellEnd"/>
      <w:r w:rsidRPr="00D01202">
        <w:rPr>
          <w:rFonts w:ascii="Times New Roman" w:hAnsi="Times New Roman" w:cs="Times New Roman"/>
          <w:sz w:val="24"/>
        </w:rPr>
        <w:t xml:space="preserve">, W. E., </w:t>
      </w:r>
      <w:proofErr w:type="spellStart"/>
      <w:r w:rsidRPr="00D01202">
        <w:rPr>
          <w:rFonts w:ascii="Times New Roman" w:hAnsi="Times New Roman" w:cs="Times New Roman"/>
          <w:sz w:val="24"/>
        </w:rPr>
        <w:t>Qaseem</w:t>
      </w:r>
      <w:proofErr w:type="spellEnd"/>
      <w:r w:rsidRPr="00D01202">
        <w:rPr>
          <w:rFonts w:ascii="Times New Roman" w:hAnsi="Times New Roman" w:cs="Times New Roman"/>
          <w:sz w:val="24"/>
        </w:rPr>
        <w:t xml:space="preserve">, A., </w:t>
      </w:r>
      <w:proofErr w:type="spellStart"/>
      <w:r w:rsidRPr="00D01202">
        <w:rPr>
          <w:rFonts w:ascii="Times New Roman" w:hAnsi="Times New Roman" w:cs="Times New Roman"/>
          <w:sz w:val="24"/>
        </w:rPr>
        <w:t>Schillie</w:t>
      </w:r>
      <w:proofErr w:type="spellEnd"/>
      <w:r w:rsidRPr="00D01202">
        <w:rPr>
          <w:rFonts w:ascii="Times New Roman" w:hAnsi="Times New Roman" w:cs="Times New Roman"/>
          <w:sz w:val="24"/>
        </w:rPr>
        <w:t>, S., McMahon, B. J., &amp; Harris, A. M. (2017). Hepatitis B vaccination, screening, and linkage to care: best practice advice from the American College of Physicians and the Centers for Disease Control and Prevention. Annals of internal medicine, 167(11), 794-804.</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 xml:space="preserve">Anderson, E., &amp; </w:t>
      </w:r>
      <w:proofErr w:type="spellStart"/>
      <w:r w:rsidRPr="00D01202">
        <w:rPr>
          <w:rFonts w:ascii="Times New Roman" w:hAnsi="Times New Roman" w:cs="Times New Roman"/>
          <w:sz w:val="24"/>
        </w:rPr>
        <w:t>Durstine</w:t>
      </w:r>
      <w:proofErr w:type="spellEnd"/>
      <w:r w:rsidRPr="00D01202">
        <w:rPr>
          <w:rFonts w:ascii="Times New Roman" w:hAnsi="Times New Roman" w:cs="Times New Roman"/>
          <w:sz w:val="24"/>
        </w:rPr>
        <w:t>, J. L. (2019). Physical activity, exercise, and chronic diseases: A brief review. Sports Medicine and Health Science, 1(1), 3-10.</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Blackman, N. (2018). Chronic Disease and Injury Prevention Programming for Canada's Indigenous Population.</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Blackman, N. (2018). Chronic Disease and Injury Prevention Programming for Canada's Indigenous Population.</w:t>
      </w:r>
    </w:p>
    <w:p w:rsidR="00D01202" w:rsidRPr="00D01202" w:rsidRDefault="00D01202" w:rsidP="00D01202">
      <w:pPr>
        <w:ind w:left="720" w:hanging="720"/>
        <w:rPr>
          <w:rFonts w:ascii="Times New Roman" w:hAnsi="Times New Roman" w:cs="Times New Roman"/>
          <w:sz w:val="24"/>
        </w:rPr>
      </w:pPr>
      <w:proofErr w:type="spellStart"/>
      <w:r w:rsidRPr="00D01202">
        <w:rPr>
          <w:rFonts w:ascii="Times New Roman" w:hAnsi="Times New Roman" w:cs="Times New Roman"/>
          <w:sz w:val="24"/>
        </w:rPr>
        <w:t>Cai</w:t>
      </w:r>
      <w:proofErr w:type="spellEnd"/>
      <w:r w:rsidRPr="00D01202">
        <w:rPr>
          <w:rFonts w:ascii="Times New Roman" w:hAnsi="Times New Roman" w:cs="Times New Roman"/>
          <w:sz w:val="24"/>
        </w:rPr>
        <w:t>, Q., Chen, F., Wang, T., Luo, F., Liu, X., Wu, Q</w:t>
      </w:r>
      <w:proofErr w:type="gramStart"/>
      <w:r w:rsidRPr="00D01202">
        <w:rPr>
          <w:rFonts w:ascii="Times New Roman" w:hAnsi="Times New Roman" w:cs="Times New Roman"/>
          <w:sz w:val="24"/>
        </w:rPr>
        <w:t>., ...</w:t>
      </w:r>
      <w:proofErr w:type="gramEnd"/>
      <w:r w:rsidRPr="00D01202">
        <w:rPr>
          <w:rFonts w:ascii="Times New Roman" w:hAnsi="Times New Roman" w:cs="Times New Roman"/>
          <w:sz w:val="24"/>
        </w:rPr>
        <w:t xml:space="preserve"> &amp; Xu, L. (2020). Obesity and COVID-19 severity in a designated hospital in Shenzhen, China. Diabetes care, 43(7), 1392-1398.</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 xml:space="preserve">Johnson, R. J., Segal, M. S., </w:t>
      </w:r>
      <w:proofErr w:type="spellStart"/>
      <w:r w:rsidRPr="00D01202">
        <w:rPr>
          <w:rFonts w:ascii="Times New Roman" w:hAnsi="Times New Roman" w:cs="Times New Roman"/>
          <w:sz w:val="24"/>
        </w:rPr>
        <w:t>Sautin</w:t>
      </w:r>
      <w:proofErr w:type="spellEnd"/>
      <w:r w:rsidRPr="00D01202">
        <w:rPr>
          <w:rFonts w:ascii="Times New Roman" w:hAnsi="Times New Roman" w:cs="Times New Roman"/>
          <w:sz w:val="24"/>
        </w:rPr>
        <w:t>, Y., Nakagawa, T., Feig, D. I., Kang, D. H</w:t>
      </w:r>
      <w:proofErr w:type="gramStart"/>
      <w:r w:rsidRPr="00D01202">
        <w:rPr>
          <w:rFonts w:ascii="Times New Roman" w:hAnsi="Times New Roman" w:cs="Times New Roman"/>
          <w:sz w:val="24"/>
        </w:rPr>
        <w:t>., ...</w:t>
      </w:r>
      <w:proofErr w:type="gramEnd"/>
      <w:r w:rsidRPr="00D01202">
        <w:rPr>
          <w:rFonts w:ascii="Times New Roman" w:hAnsi="Times New Roman" w:cs="Times New Roman"/>
          <w:sz w:val="24"/>
        </w:rPr>
        <w:t xml:space="preserve"> &amp; Sánchez-</w:t>
      </w:r>
      <w:proofErr w:type="spellStart"/>
      <w:r w:rsidRPr="00D01202">
        <w:rPr>
          <w:rFonts w:ascii="Times New Roman" w:hAnsi="Times New Roman" w:cs="Times New Roman"/>
          <w:sz w:val="24"/>
        </w:rPr>
        <w:t>Lozada</w:t>
      </w:r>
      <w:proofErr w:type="spellEnd"/>
      <w:r w:rsidRPr="00D01202">
        <w:rPr>
          <w:rFonts w:ascii="Times New Roman" w:hAnsi="Times New Roman" w:cs="Times New Roman"/>
          <w:sz w:val="24"/>
        </w:rPr>
        <w:t>, L. G. (2007). Potential sugar (fructose) in hypertension, obesity and metabolic syndrome, diabetes, kidney disease, and cardiovascular disease. The American journal of clinical nutrition, 86(4), 899-906.</w:t>
      </w:r>
    </w:p>
    <w:p w:rsidR="00D01202" w:rsidRPr="00D01202" w:rsidRDefault="00D01202" w:rsidP="00D01202">
      <w:pPr>
        <w:ind w:left="720" w:hanging="720"/>
        <w:rPr>
          <w:rFonts w:ascii="Times New Roman" w:hAnsi="Times New Roman" w:cs="Times New Roman"/>
          <w:sz w:val="24"/>
        </w:rPr>
      </w:pPr>
      <w:proofErr w:type="spellStart"/>
      <w:r w:rsidRPr="00D01202">
        <w:rPr>
          <w:rFonts w:ascii="Times New Roman" w:hAnsi="Times New Roman" w:cs="Times New Roman"/>
          <w:sz w:val="24"/>
        </w:rPr>
        <w:t>Pastakia</w:t>
      </w:r>
      <w:proofErr w:type="spellEnd"/>
      <w:r w:rsidRPr="00D01202">
        <w:rPr>
          <w:rFonts w:ascii="Times New Roman" w:hAnsi="Times New Roman" w:cs="Times New Roman"/>
          <w:sz w:val="24"/>
        </w:rPr>
        <w:t xml:space="preserve">, S. D., </w:t>
      </w:r>
      <w:proofErr w:type="spellStart"/>
      <w:r w:rsidRPr="00D01202">
        <w:rPr>
          <w:rFonts w:ascii="Times New Roman" w:hAnsi="Times New Roman" w:cs="Times New Roman"/>
          <w:sz w:val="24"/>
        </w:rPr>
        <w:t>Pekny</w:t>
      </w:r>
      <w:proofErr w:type="spellEnd"/>
      <w:r w:rsidRPr="00D01202">
        <w:rPr>
          <w:rFonts w:ascii="Times New Roman" w:hAnsi="Times New Roman" w:cs="Times New Roman"/>
          <w:sz w:val="24"/>
        </w:rPr>
        <w:t xml:space="preserve">, C. R., </w:t>
      </w:r>
      <w:proofErr w:type="spellStart"/>
      <w:r w:rsidRPr="00D01202">
        <w:rPr>
          <w:rFonts w:ascii="Times New Roman" w:hAnsi="Times New Roman" w:cs="Times New Roman"/>
          <w:sz w:val="24"/>
        </w:rPr>
        <w:t>Manyara</w:t>
      </w:r>
      <w:proofErr w:type="spellEnd"/>
      <w:r w:rsidRPr="00D01202">
        <w:rPr>
          <w:rFonts w:ascii="Times New Roman" w:hAnsi="Times New Roman" w:cs="Times New Roman"/>
          <w:sz w:val="24"/>
        </w:rPr>
        <w:t>, S. M., &amp; Fischer, L. (2017). Diabetes in sub-Saharan Africa–from policy to practice to progress: targeting the existing gaps for future diabetes care. Diabetes, metabolic syndrome, and obesity: targets and therapy, 10, 247.</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lastRenderedPageBreak/>
        <w:t>Perrin, J. M. (2012). How can quality improvement enhance the lives of children with disabilities</w:t>
      </w:r>
      <w:proofErr w:type="gramStart"/>
      <w:r w:rsidRPr="00D01202">
        <w:rPr>
          <w:rFonts w:ascii="Times New Roman" w:hAnsi="Times New Roman" w:cs="Times New Roman"/>
          <w:sz w:val="24"/>
        </w:rPr>
        <w:t>?.</w:t>
      </w:r>
      <w:proofErr w:type="gramEnd"/>
      <w:r w:rsidRPr="00D01202">
        <w:rPr>
          <w:rFonts w:ascii="Times New Roman" w:hAnsi="Times New Roman" w:cs="Times New Roman"/>
          <w:sz w:val="24"/>
        </w:rPr>
        <w:t xml:space="preserve"> The Future of Children, 149-168.</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Rooks, M. G., &amp; Garrett, W. S. (2011). Bacteria, food, and cancer. F1000 biology reports, 3.</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Schmidt, H. (2016). Chronic disease prevention and health promotion. Public health ethics: Cases spanning the globe, 137-176.</w:t>
      </w:r>
    </w:p>
    <w:p w:rsidR="00D01202" w:rsidRPr="00D01202" w:rsidRDefault="00D01202" w:rsidP="00D01202">
      <w:pPr>
        <w:ind w:left="720" w:hanging="720"/>
        <w:rPr>
          <w:rFonts w:ascii="Times New Roman" w:hAnsi="Times New Roman" w:cs="Times New Roman"/>
          <w:sz w:val="24"/>
        </w:rPr>
      </w:pPr>
      <w:r w:rsidRPr="00D01202">
        <w:rPr>
          <w:rFonts w:ascii="Times New Roman" w:hAnsi="Times New Roman" w:cs="Times New Roman"/>
          <w:sz w:val="24"/>
        </w:rPr>
        <w:t>Schroeder, Alina. "SUPPORT FOR PEOPLE LIVING WITH HIV: INSIGHTS INTO KNOWLEDGE ACQUISITION AND PERSONAL WELLBEING." (2020).</w:t>
      </w:r>
    </w:p>
    <w:p w:rsidR="005841BC" w:rsidRPr="00421071" w:rsidRDefault="005841BC" w:rsidP="00421071">
      <w:pPr>
        <w:ind w:left="720" w:hanging="720"/>
        <w:rPr>
          <w:rFonts w:ascii="Times New Roman" w:hAnsi="Times New Roman" w:cs="Times New Roman"/>
          <w:sz w:val="24"/>
        </w:rPr>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Default="005841BC" w:rsidP="005841BC">
      <w:pPr>
        <w:tabs>
          <w:tab w:val="left" w:pos="2445"/>
        </w:tabs>
      </w:pPr>
    </w:p>
    <w:p w:rsidR="005841BC" w:rsidRPr="005841BC" w:rsidRDefault="005841BC" w:rsidP="005841BC">
      <w:pPr>
        <w:tabs>
          <w:tab w:val="left" w:pos="2445"/>
        </w:tabs>
      </w:pPr>
    </w:p>
    <w:sectPr w:rsidR="005841BC" w:rsidRPr="005841BC" w:rsidSect="006948B8">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BC" w:rsidRDefault="00FD4DBC">
      <w:pPr>
        <w:spacing w:after="0" w:line="240" w:lineRule="auto"/>
      </w:pPr>
      <w:r>
        <w:separator/>
      </w:r>
    </w:p>
  </w:endnote>
  <w:endnote w:type="continuationSeparator" w:id="0">
    <w:p w:rsidR="00FD4DBC" w:rsidRDefault="00FD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BC" w:rsidRDefault="00FD4DBC">
      <w:pPr>
        <w:spacing w:after="0" w:line="240" w:lineRule="auto"/>
      </w:pPr>
      <w:r>
        <w:separator/>
      </w:r>
    </w:p>
  </w:footnote>
  <w:footnote w:type="continuationSeparator" w:id="0">
    <w:p w:rsidR="00FD4DBC" w:rsidRDefault="00FD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1BC" w:rsidRDefault="00FD4DBC" w:rsidP="005841BC">
    <w:pPr>
      <w:pStyle w:val="Header"/>
      <w:jc w:val="left"/>
    </w:pPr>
    <w:r w:rsidRPr="006948B8">
      <w:rPr>
        <w:rFonts w:ascii="Times New Roman" w:hAnsi="Times New Roman" w:cs="Times New Roman"/>
        <w:sz w:val="24"/>
      </w:rPr>
      <w:t>MPH CAPSTONE PROJECT</w:t>
    </w:r>
    <w:r>
      <w:rPr>
        <w:rFonts w:ascii="Times New Roman" w:hAnsi="Times New Roman" w:cs="Times New Roman"/>
        <w:sz w:val="24"/>
      </w:rPr>
      <w:tab/>
    </w:r>
    <w:r>
      <w:rPr>
        <w:rFonts w:ascii="Times New Roman" w:hAnsi="Times New Roman" w:cs="Times New Roman"/>
        <w:sz w:val="24"/>
      </w:rPr>
      <w:tab/>
    </w:r>
    <w:r>
      <w:t xml:space="preserve"> </w:t>
    </w:r>
    <w:sdt>
      <w:sdtPr>
        <w:id w:val="12864641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C0511">
          <w:rPr>
            <w:noProof/>
          </w:rPr>
          <w:t>10</w:t>
        </w:r>
        <w:r>
          <w:rPr>
            <w:noProof/>
          </w:rPr>
          <w:fldChar w:fldCharType="end"/>
        </w:r>
      </w:sdtContent>
    </w:sdt>
  </w:p>
  <w:p w:rsidR="005841BC" w:rsidRDefault="00584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8B8" w:rsidRDefault="00FD4DBC" w:rsidP="006948B8">
    <w:pPr>
      <w:pStyle w:val="Header"/>
      <w:jc w:val="left"/>
    </w:pPr>
    <w:r w:rsidRPr="006948B8">
      <w:rPr>
        <w:rFonts w:ascii="Times New Roman" w:hAnsi="Times New Roman" w:cs="Times New Roman"/>
        <w:sz w:val="24"/>
      </w:rPr>
      <w:t xml:space="preserve">Branching Paths: </w:t>
    </w:r>
    <w:r w:rsidR="005841BC" w:rsidRPr="006948B8">
      <w:rPr>
        <w:rFonts w:ascii="Times New Roman" w:hAnsi="Times New Roman" w:cs="Times New Roman"/>
        <w:sz w:val="24"/>
      </w:rPr>
      <w:t>MPH CAPSTONE PROJECT</w:t>
    </w:r>
    <w:r>
      <w:rPr>
        <w:rFonts w:ascii="Times New Roman" w:hAnsi="Times New Roman" w:cs="Times New Roman"/>
        <w:sz w:val="24"/>
      </w:rPr>
      <w:tab/>
    </w:r>
    <w:sdt>
      <w:sdtPr>
        <w:rPr>
          <w:rFonts w:ascii="Times New Roman" w:hAnsi="Times New Roman" w:cs="Times New Roman"/>
          <w:sz w:val="24"/>
        </w:rPr>
        <w:id w:val="-261532624"/>
        <w:docPartObj>
          <w:docPartGallery w:val="Page Numbers (Top of Page)"/>
          <w:docPartUnique/>
        </w:docPartObj>
      </w:sdtPr>
      <w:sdtEndPr>
        <w:rPr>
          <w:rFonts w:asciiTheme="minorHAnsi" w:hAnsiTheme="minorHAnsi" w:cstheme="minorBidi"/>
          <w:noProof/>
          <w:sz w:val="22"/>
        </w:rPr>
      </w:sdtEndPr>
      <w:sdtContent>
        <w:r>
          <w:tab/>
        </w:r>
        <w:r>
          <w:fldChar w:fldCharType="begin"/>
        </w:r>
        <w:r>
          <w:instrText xml:space="preserve"> PAGE   \* MERGEFORMAT </w:instrText>
        </w:r>
        <w:r>
          <w:fldChar w:fldCharType="separate"/>
        </w:r>
        <w:r w:rsidR="00133C44">
          <w:rPr>
            <w:noProof/>
          </w:rPr>
          <w:t>1</w:t>
        </w:r>
        <w:r>
          <w:rPr>
            <w:noProof/>
          </w:rPr>
          <w:fldChar w:fldCharType="end"/>
        </w:r>
      </w:sdtContent>
    </w:sdt>
  </w:p>
  <w:p w:rsidR="006948B8" w:rsidRDefault="00694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C5B53"/>
    <w:multiLevelType w:val="hybridMultilevel"/>
    <w:tmpl w:val="70841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B42F0A"/>
    <w:multiLevelType w:val="hybridMultilevel"/>
    <w:tmpl w:val="8E302F90"/>
    <w:lvl w:ilvl="0" w:tplc="0CF2E5C4">
      <w:start w:val="1"/>
      <w:numFmt w:val="bullet"/>
      <w:lvlText w:val=""/>
      <w:lvlJc w:val="left"/>
      <w:pPr>
        <w:ind w:left="720" w:hanging="360"/>
      </w:pPr>
      <w:rPr>
        <w:rFonts w:ascii="Symbol" w:hAnsi="Symbol" w:hint="default"/>
      </w:rPr>
    </w:lvl>
    <w:lvl w:ilvl="1" w:tplc="134A6F66" w:tentative="1">
      <w:start w:val="1"/>
      <w:numFmt w:val="bullet"/>
      <w:lvlText w:val="o"/>
      <w:lvlJc w:val="left"/>
      <w:pPr>
        <w:ind w:left="1440" w:hanging="360"/>
      </w:pPr>
      <w:rPr>
        <w:rFonts w:ascii="Courier New" w:hAnsi="Courier New" w:cs="Courier New" w:hint="default"/>
      </w:rPr>
    </w:lvl>
    <w:lvl w:ilvl="2" w:tplc="F436707A" w:tentative="1">
      <w:start w:val="1"/>
      <w:numFmt w:val="bullet"/>
      <w:lvlText w:val=""/>
      <w:lvlJc w:val="left"/>
      <w:pPr>
        <w:ind w:left="2160" w:hanging="360"/>
      </w:pPr>
      <w:rPr>
        <w:rFonts w:ascii="Wingdings" w:hAnsi="Wingdings" w:hint="default"/>
      </w:rPr>
    </w:lvl>
    <w:lvl w:ilvl="3" w:tplc="69B48E74" w:tentative="1">
      <w:start w:val="1"/>
      <w:numFmt w:val="bullet"/>
      <w:lvlText w:val=""/>
      <w:lvlJc w:val="left"/>
      <w:pPr>
        <w:ind w:left="2880" w:hanging="360"/>
      </w:pPr>
      <w:rPr>
        <w:rFonts w:ascii="Symbol" w:hAnsi="Symbol" w:hint="default"/>
      </w:rPr>
    </w:lvl>
    <w:lvl w:ilvl="4" w:tplc="6470A7E4" w:tentative="1">
      <w:start w:val="1"/>
      <w:numFmt w:val="bullet"/>
      <w:lvlText w:val="o"/>
      <w:lvlJc w:val="left"/>
      <w:pPr>
        <w:ind w:left="3600" w:hanging="360"/>
      </w:pPr>
      <w:rPr>
        <w:rFonts w:ascii="Courier New" w:hAnsi="Courier New" w:cs="Courier New" w:hint="default"/>
      </w:rPr>
    </w:lvl>
    <w:lvl w:ilvl="5" w:tplc="7C9C10F0" w:tentative="1">
      <w:start w:val="1"/>
      <w:numFmt w:val="bullet"/>
      <w:lvlText w:val=""/>
      <w:lvlJc w:val="left"/>
      <w:pPr>
        <w:ind w:left="4320" w:hanging="360"/>
      </w:pPr>
      <w:rPr>
        <w:rFonts w:ascii="Wingdings" w:hAnsi="Wingdings" w:hint="default"/>
      </w:rPr>
    </w:lvl>
    <w:lvl w:ilvl="6" w:tplc="3ED247DA" w:tentative="1">
      <w:start w:val="1"/>
      <w:numFmt w:val="bullet"/>
      <w:lvlText w:val=""/>
      <w:lvlJc w:val="left"/>
      <w:pPr>
        <w:ind w:left="5040" w:hanging="360"/>
      </w:pPr>
      <w:rPr>
        <w:rFonts w:ascii="Symbol" w:hAnsi="Symbol" w:hint="default"/>
      </w:rPr>
    </w:lvl>
    <w:lvl w:ilvl="7" w:tplc="FB06BF4E" w:tentative="1">
      <w:start w:val="1"/>
      <w:numFmt w:val="bullet"/>
      <w:lvlText w:val="o"/>
      <w:lvlJc w:val="left"/>
      <w:pPr>
        <w:ind w:left="5760" w:hanging="360"/>
      </w:pPr>
      <w:rPr>
        <w:rFonts w:ascii="Courier New" w:hAnsi="Courier New" w:cs="Courier New" w:hint="default"/>
      </w:rPr>
    </w:lvl>
    <w:lvl w:ilvl="8" w:tplc="B4AE127E" w:tentative="1">
      <w:start w:val="1"/>
      <w:numFmt w:val="bullet"/>
      <w:lvlText w:val=""/>
      <w:lvlJc w:val="left"/>
      <w:pPr>
        <w:ind w:left="6480" w:hanging="360"/>
      </w:pPr>
      <w:rPr>
        <w:rFonts w:ascii="Wingdings" w:hAnsi="Wingdings" w:hint="default"/>
      </w:rPr>
    </w:lvl>
  </w:abstractNum>
  <w:abstractNum w:abstractNumId="2" w15:restartNumberingAfterBreak="0">
    <w:nsid w:val="4A8A4AAE"/>
    <w:multiLevelType w:val="hybridMultilevel"/>
    <w:tmpl w:val="73C0F290"/>
    <w:lvl w:ilvl="0" w:tplc="09D6BDA4">
      <w:start w:val="1"/>
      <w:numFmt w:val="decimal"/>
      <w:lvlText w:val="%1."/>
      <w:lvlJc w:val="left"/>
      <w:pPr>
        <w:ind w:left="2880" w:hanging="360"/>
      </w:pPr>
      <w:rPr>
        <w:rFonts w:hint="default"/>
      </w:rPr>
    </w:lvl>
    <w:lvl w:ilvl="1" w:tplc="ADB0AFC2" w:tentative="1">
      <w:start w:val="1"/>
      <w:numFmt w:val="lowerLetter"/>
      <w:lvlText w:val="%2."/>
      <w:lvlJc w:val="left"/>
      <w:pPr>
        <w:ind w:left="3600" w:hanging="360"/>
      </w:pPr>
    </w:lvl>
    <w:lvl w:ilvl="2" w:tplc="258E22BC" w:tentative="1">
      <w:start w:val="1"/>
      <w:numFmt w:val="lowerRoman"/>
      <w:lvlText w:val="%3."/>
      <w:lvlJc w:val="right"/>
      <w:pPr>
        <w:ind w:left="4320" w:hanging="180"/>
      </w:pPr>
    </w:lvl>
    <w:lvl w:ilvl="3" w:tplc="08867B3E" w:tentative="1">
      <w:start w:val="1"/>
      <w:numFmt w:val="decimal"/>
      <w:lvlText w:val="%4."/>
      <w:lvlJc w:val="left"/>
      <w:pPr>
        <w:ind w:left="5040" w:hanging="360"/>
      </w:pPr>
    </w:lvl>
    <w:lvl w:ilvl="4" w:tplc="604A8FAE" w:tentative="1">
      <w:start w:val="1"/>
      <w:numFmt w:val="lowerLetter"/>
      <w:lvlText w:val="%5."/>
      <w:lvlJc w:val="left"/>
      <w:pPr>
        <w:ind w:left="5760" w:hanging="360"/>
      </w:pPr>
    </w:lvl>
    <w:lvl w:ilvl="5" w:tplc="6F8A8A98" w:tentative="1">
      <w:start w:val="1"/>
      <w:numFmt w:val="lowerRoman"/>
      <w:lvlText w:val="%6."/>
      <w:lvlJc w:val="right"/>
      <w:pPr>
        <w:ind w:left="6480" w:hanging="180"/>
      </w:pPr>
    </w:lvl>
    <w:lvl w:ilvl="6" w:tplc="5022ACAE" w:tentative="1">
      <w:start w:val="1"/>
      <w:numFmt w:val="decimal"/>
      <w:lvlText w:val="%7."/>
      <w:lvlJc w:val="left"/>
      <w:pPr>
        <w:ind w:left="7200" w:hanging="360"/>
      </w:pPr>
    </w:lvl>
    <w:lvl w:ilvl="7" w:tplc="0552701A" w:tentative="1">
      <w:start w:val="1"/>
      <w:numFmt w:val="lowerLetter"/>
      <w:lvlText w:val="%8."/>
      <w:lvlJc w:val="left"/>
      <w:pPr>
        <w:ind w:left="7920" w:hanging="360"/>
      </w:pPr>
    </w:lvl>
    <w:lvl w:ilvl="8" w:tplc="F81E4A58" w:tentative="1">
      <w:start w:val="1"/>
      <w:numFmt w:val="lowerRoman"/>
      <w:lvlText w:val="%9."/>
      <w:lvlJc w:val="right"/>
      <w:pPr>
        <w:ind w:left="86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AF"/>
    <w:rsid w:val="000036FA"/>
    <w:rsid w:val="00133C44"/>
    <w:rsid w:val="001C655F"/>
    <w:rsid w:val="00273E8C"/>
    <w:rsid w:val="00296151"/>
    <w:rsid w:val="002A11A9"/>
    <w:rsid w:val="002B2E35"/>
    <w:rsid w:val="002C1BC8"/>
    <w:rsid w:val="002D0F2C"/>
    <w:rsid w:val="00364B21"/>
    <w:rsid w:val="003A613A"/>
    <w:rsid w:val="003E3A38"/>
    <w:rsid w:val="00421071"/>
    <w:rsid w:val="00476140"/>
    <w:rsid w:val="005243C7"/>
    <w:rsid w:val="005841BC"/>
    <w:rsid w:val="005C0511"/>
    <w:rsid w:val="005C1022"/>
    <w:rsid w:val="006948B8"/>
    <w:rsid w:val="0077027D"/>
    <w:rsid w:val="007930F0"/>
    <w:rsid w:val="007B4967"/>
    <w:rsid w:val="007F49F7"/>
    <w:rsid w:val="007F56FF"/>
    <w:rsid w:val="008E7B49"/>
    <w:rsid w:val="00992A1B"/>
    <w:rsid w:val="009B190A"/>
    <w:rsid w:val="00A46A90"/>
    <w:rsid w:val="00A94EFA"/>
    <w:rsid w:val="00AB55F9"/>
    <w:rsid w:val="00B108AF"/>
    <w:rsid w:val="00B930D0"/>
    <w:rsid w:val="00C5303B"/>
    <w:rsid w:val="00C75318"/>
    <w:rsid w:val="00C866CA"/>
    <w:rsid w:val="00D01202"/>
    <w:rsid w:val="00D22ABD"/>
    <w:rsid w:val="00D344BD"/>
    <w:rsid w:val="00D47690"/>
    <w:rsid w:val="00D825CA"/>
    <w:rsid w:val="00E8208B"/>
    <w:rsid w:val="00EA606E"/>
    <w:rsid w:val="00EE0DEE"/>
    <w:rsid w:val="00FD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30DB"/>
  <w15:chartTrackingRefBased/>
  <w15:docId w15:val="{9C83FADC-E3E8-4096-985C-9671D9B9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20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8B8"/>
  </w:style>
  <w:style w:type="paragraph" w:styleId="Footer">
    <w:name w:val="footer"/>
    <w:basedOn w:val="Normal"/>
    <w:link w:val="FooterChar"/>
    <w:uiPriority w:val="99"/>
    <w:unhideWhenUsed/>
    <w:rsid w:val="0069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B8"/>
  </w:style>
  <w:style w:type="character" w:customStyle="1" w:styleId="Heading1Char">
    <w:name w:val="Heading 1 Char"/>
    <w:basedOn w:val="DefaultParagraphFont"/>
    <w:link w:val="Heading1"/>
    <w:uiPriority w:val="9"/>
    <w:rsid w:val="00E8208B"/>
    <w:rPr>
      <w:rFonts w:asciiTheme="majorHAnsi" w:eastAsiaTheme="majorEastAsia" w:hAnsiTheme="majorHAnsi" w:cstheme="majorBidi"/>
      <w:color w:val="2E74B5" w:themeColor="accent1" w:themeShade="BF"/>
      <w:sz w:val="40"/>
      <w:szCs w:val="40"/>
    </w:rPr>
  </w:style>
  <w:style w:type="paragraph" w:styleId="ListParagraph">
    <w:name w:val="List Paragraph"/>
    <w:basedOn w:val="Normal"/>
    <w:uiPriority w:val="34"/>
    <w:qFormat/>
    <w:rsid w:val="00273E8C"/>
    <w:pPr>
      <w:spacing w:line="300"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LIVERPOOL</cp:lastModifiedBy>
  <cp:revision>24</cp:revision>
  <dcterms:created xsi:type="dcterms:W3CDTF">2021-03-23T06:20:00Z</dcterms:created>
  <dcterms:modified xsi:type="dcterms:W3CDTF">2021-03-23T13:11:00Z</dcterms:modified>
</cp:coreProperties>
</file>